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C4" w:rsidRPr="001A5FC4" w:rsidRDefault="001A5FC4">
      <w:pPr>
        <w:rPr>
          <w:rFonts w:asciiTheme="minorHAnsi" w:hAnsiTheme="minorHAnsi"/>
          <w:b/>
        </w:rPr>
      </w:pPr>
      <w:r w:rsidRPr="001A5FC4">
        <w:rPr>
          <w:rFonts w:asciiTheme="minorHAnsi" w:hAnsiTheme="minorHAnsi"/>
          <w:b/>
        </w:rPr>
        <w:t>MSQ Unit 32</w:t>
      </w:r>
    </w:p>
    <w:p w:rsidR="001A5FC4" w:rsidRPr="001A5FC4" w:rsidRDefault="001A5FC4">
      <w:pPr>
        <w:rPr>
          <w:rFonts w:asciiTheme="minorHAnsi" w:hAnsiTheme="minorHAnsi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3"/>
        <w:gridCol w:w="5538"/>
      </w:tblGrid>
      <w:tr w:rsidR="007725FB" w:rsidRPr="00F0087A" w:rsidTr="001A5FC4">
        <w:tc>
          <w:tcPr>
            <w:tcW w:w="0" w:type="auto"/>
            <w:shd w:val="clear" w:color="auto" w:fill="FFFFFF" w:themeFill="background1"/>
          </w:tcPr>
          <w:p w:rsidR="007725FB" w:rsidRPr="00F0087A" w:rsidRDefault="007725FB" w:rsidP="001A5FC4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Title:</w:t>
            </w:r>
          </w:p>
        </w:tc>
        <w:tc>
          <w:tcPr>
            <w:tcW w:w="5538" w:type="dxa"/>
            <w:shd w:val="clear" w:color="auto" w:fill="FFFFFF" w:themeFill="background1"/>
          </w:tcPr>
          <w:p w:rsidR="007725FB" w:rsidRPr="00F0087A" w:rsidRDefault="001A5FC4" w:rsidP="001A5FC4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Marine engineering d</w:t>
            </w:r>
            <w:r w:rsidR="007725FB" w:rsidRPr="00F0087A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ynamics</w:t>
            </w:r>
          </w:p>
        </w:tc>
      </w:tr>
      <w:tr w:rsidR="007725FB" w:rsidRPr="00F0087A" w:rsidTr="001A5FC4">
        <w:tc>
          <w:tcPr>
            <w:tcW w:w="0" w:type="auto"/>
            <w:shd w:val="clear" w:color="auto" w:fill="FFFFFF" w:themeFill="background1"/>
          </w:tcPr>
          <w:p w:rsidR="007725FB" w:rsidRPr="00F0087A" w:rsidRDefault="001A5FC4" w:rsidP="001A5FC4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QCF </w:t>
            </w:r>
            <w:r w:rsidR="007725FB"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Level:</w:t>
            </w:r>
          </w:p>
        </w:tc>
        <w:tc>
          <w:tcPr>
            <w:tcW w:w="5538" w:type="dxa"/>
            <w:shd w:val="clear" w:color="auto" w:fill="FFFFFF" w:themeFill="background1"/>
          </w:tcPr>
          <w:p w:rsidR="007725FB" w:rsidRPr="00F0087A" w:rsidRDefault="007725FB" w:rsidP="001A5FC4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3</w:t>
            </w:r>
          </w:p>
        </w:tc>
      </w:tr>
      <w:tr w:rsidR="007725FB" w:rsidRPr="00F0087A" w:rsidTr="001A5FC4">
        <w:tc>
          <w:tcPr>
            <w:tcW w:w="0" w:type="auto"/>
            <w:shd w:val="clear" w:color="auto" w:fill="FFFFFF" w:themeFill="background1"/>
          </w:tcPr>
          <w:p w:rsidR="007725FB" w:rsidRPr="00F0087A" w:rsidRDefault="007725FB" w:rsidP="001A5FC4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Credit value:</w:t>
            </w:r>
          </w:p>
        </w:tc>
        <w:tc>
          <w:tcPr>
            <w:tcW w:w="5538" w:type="dxa"/>
            <w:shd w:val="clear" w:color="auto" w:fill="FFFFFF" w:themeFill="background1"/>
          </w:tcPr>
          <w:p w:rsidR="007725FB" w:rsidRPr="00F0087A" w:rsidRDefault="007725FB" w:rsidP="001A5FC4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4</w:t>
            </w:r>
          </w:p>
        </w:tc>
      </w:tr>
      <w:tr w:rsidR="007725FB" w:rsidRPr="00F0087A" w:rsidTr="001A5FC4">
        <w:trPr>
          <w:trHeight w:val="70"/>
        </w:trPr>
        <w:tc>
          <w:tcPr>
            <w:tcW w:w="0" w:type="auto"/>
            <w:shd w:val="clear" w:color="auto" w:fill="FFFFFF" w:themeFill="background1"/>
          </w:tcPr>
          <w:p w:rsidR="007725FB" w:rsidRPr="00F0087A" w:rsidRDefault="007725FB">
            <w:pPr>
              <w:pStyle w:val="TableColumnHeader"/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Learning outcomes</w:t>
            </w: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7725FB" w:rsidRPr="00F0087A" w:rsidRDefault="007725FB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7725FB" w:rsidRPr="00F0087A" w:rsidRDefault="007725FB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criteria</w:t>
            </w: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ab/>
            </w: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7725FB" w:rsidRPr="00F0087A" w:rsidRDefault="007725FB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7725FB" w:rsidRPr="00F0087A">
        <w:trPr>
          <w:cantSplit/>
        </w:trPr>
        <w:tc>
          <w:tcPr>
            <w:tcW w:w="0" w:type="auto"/>
          </w:tcPr>
          <w:p w:rsidR="007725FB" w:rsidRPr="00F0087A" w:rsidRDefault="007725FB">
            <w:pPr>
              <w:pStyle w:val="TableListNumber"/>
              <w:numPr>
                <w:ilvl w:val="0"/>
                <w:numId w:val="18"/>
              </w:numPr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solve problems involving velocity vector diagrams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Solve problems involving the resolution of a velocity vector into its vertical and horizontal components</w:t>
            </w:r>
          </w:p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Draw a velocity vector diagram to determine the resultant of a number of vectors</w:t>
            </w:r>
          </w:p>
        </w:tc>
      </w:tr>
      <w:tr w:rsidR="007725FB" w:rsidRPr="00F0087A">
        <w:trPr>
          <w:cantSplit/>
        </w:trPr>
        <w:tc>
          <w:tcPr>
            <w:tcW w:w="0" w:type="auto"/>
          </w:tcPr>
          <w:p w:rsidR="007725FB" w:rsidRPr="00F0087A" w:rsidRDefault="007725FB">
            <w:pPr>
              <w:pStyle w:val="TableListNumber"/>
              <w:numPr>
                <w:ilvl w:val="0"/>
                <w:numId w:val="18"/>
              </w:numPr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Be able to compare linear and angular dynamic quantities and equations </w:t>
            </w:r>
          </w:p>
          <w:p w:rsidR="007725FB" w:rsidRPr="00F0087A" w:rsidRDefault="007725FB">
            <w:pPr>
              <w:pStyle w:val="TableListNumber"/>
              <w:numPr>
                <w:ilvl w:val="0"/>
                <w:numId w:val="0"/>
              </w:numPr>
              <w:spacing w:after="120"/>
              <w:ind w:left="3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  <w:tc>
          <w:tcPr>
            <w:tcW w:w="5538" w:type="dxa"/>
          </w:tcPr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State the meaning of the terms Moment of Inertia and Radius of Gyration</w:t>
            </w:r>
          </w:p>
          <w:p w:rsidR="007725FB" w:rsidRPr="00F0087A" w:rsidRDefault="007725FB">
            <w:pPr>
              <w:pStyle w:val="ListNumber"/>
              <w:numPr>
                <w:ilvl w:val="0"/>
                <w:numId w:val="0"/>
              </w:numPr>
              <w:ind w:left="825" w:hanging="426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2.2 Complete a table which compares linear and angular dynamic system quantities and equations</w:t>
            </w:r>
          </w:p>
        </w:tc>
      </w:tr>
      <w:tr w:rsidR="007725FB" w:rsidRPr="00F0087A">
        <w:trPr>
          <w:cantSplit/>
        </w:trPr>
        <w:tc>
          <w:tcPr>
            <w:tcW w:w="0" w:type="auto"/>
          </w:tcPr>
          <w:p w:rsidR="007725FB" w:rsidRPr="00F0087A" w:rsidRDefault="007725FB">
            <w:pPr>
              <w:pStyle w:val="TableListNumber"/>
              <w:numPr>
                <w:ilvl w:val="0"/>
                <w:numId w:val="18"/>
              </w:numPr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solve problems involving angular dynamic systems.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Apply the equations of motion for constant acceleration to the solution of problems involving angular systems</w:t>
            </w:r>
          </w:p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Apply a velocity/time diagram to the solution of a problem involving an angular system</w:t>
            </w:r>
          </w:p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Apply equations of motion for constant acceleration to solve problems involving a system containing one linear and one angular element</w:t>
            </w:r>
          </w:p>
        </w:tc>
      </w:tr>
      <w:tr w:rsidR="007725FB" w:rsidRPr="00F0087A">
        <w:trPr>
          <w:cantSplit/>
        </w:trPr>
        <w:tc>
          <w:tcPr>
            <w:tcW w:w="0" w:type="auto"/>
          </w:tcPr>
          <w:p w:rsidR="007725FB" w:rsidRPr="00F0087A" w:rsidRDefault="007725FB">
            <w:pPr>
              <w:pStyle w:val="TableListNumber"/>
              <w:numPr>
                <w:ilvl w:val="0"/>
                <w:numId w:val="18"/>
              </w:numPr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solve problems involving accelerating or decelerating a solid uniform disc</w:t>
            </w:r>
          </w:p>
          <w:p w:rsidR="007725FB" w:rsidRPr="00F0087A" w:rsidRDefault="007725FB">
            <w:pPr>
              <w:pStyle w:val="ListNumber"/>
              <w:numPr>
                <w:ilvl w:val="0"/>
                <w:numId w:val="0"/>
              </w:numPr>
              <w:ind w:left="468"/>
              <w:jc w:val="left"/>
              <w:rPr>
                <w:rFonts w:asciiTheme="minorHAnsi" w:eastAsiaTheme="minorEastAsia" w:hAnsiTheme="minorHAnsi" w:cs="Gill Sans MT"/>
              </w:rPr>
            </w:pPr>
          </w:p>
        </w:tc>
        <w:tc>
          <w:tcPr>
            <w:tcW w:w="5538" w:type="dxa"/>
          </w:tcPr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Calculate the Moment of Inertia of a solid uniform disc</w:t>
            </w:r>
          </w:p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Calculate mechanical quantities associated with accelerating and/or decelerating a solid uniform disc</w:t>
            </w:r>
          </w:p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Calculate mechanical quantities associated with accelerating and/or decelerating a solid uniform disc by applying the principle of the conservation of energy</w:t>
            </w:r>
          </w:p>
        </w:tc>
      </w:tr>
      <w:tr w:rsidR="007725FB" w:rsidRPr="00F0087A">
        <w:trPr>
          <w:cantSplit/>
          <w:trHeight w:val="688"/>
        </w:trPr>
        <w:tc>
          <w:tcPr>
            <w:tcW w:w="0" w:type="auto"/>
          </w:tcPr>
          <w:p w:rsidR="007725FB" w:rsidRPr="00F0087A" w:rsidRDefault="007725FB">
            <w:pPr>
              <w:pStyle w:val="TableText"/>
              <w:numPr>
                <w:ilvl w:val="0"/>
                <w:numId w:val="18"/>
              </w:numPr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solve problems involving centripetal and centrifugal forces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State the meaning of the terms centripetal force and centrifugal force</w:t>
            </w:r>
          </w:p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State the relationship between centripetal and centrifugal force and mass, angular velocity and radius.</w:t>
            </w:r>
          </w:p>
          <w:p w:rsidR="007725FB" w:rsidRPr="00F0087A" w:rsidRDefault="007725FB">
            <w:pPr>
              <w:pStyle w:val="ListNumber"/>
              <w:numPr>
                <w:ilvl w:val="1"/>
                <w:numId w:val="18"/>
              </w:numPr>
              <w:spacing w:before="120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Solve problems involving centripetal and centrifugal forces</w:t>
            </w:r>
          </w:p>
        </w:tc>
      </w:tr>
      <w:tr w:rsidR="007725FB" w:rsidRPr="00F0087A">
        <w:trPr>
          <w:cantSplit/>
          <w:trHeight w:val="688"/>
        </w:trPr>
        <w:tc>
          <w:tcPr>
            <w:tcW w:w="0" w:type="auto"/>
          </w:tcPr>
          <w:p w:rsidR="007725FB" w:rsidRPr="00F0087A" w:rsidRDefault="007725FB">
            <w:pPr>
              <w:pStyle w:val="TableText"/>
              <w:numPr>
                <w:ilvl w:val="0"/>
                <w:numId w:val="18"/>
              </w:numPr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Understand the principle of the conservation of momentum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Knowledge"/>
              <w:numPr>
                <w:ilvl w:val="1"/>
                <w:numId w:val="18"/>
              </w:numPr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Explain the principle of the conservation of momentum</w:t>
            </w:r>
          </w:p>
        </w:tc>
      </w:tr>
      <w:tr w:rsidR="007725FB" w:rsidRPr="00F0087A">
        <w:trPr>
          <w:cantSplit/>
          <w:trHeight w:val="688"/>
        </w:trPr>
        <w:tc>
          <w:tcPr>
            <w:tcW w:w="0" w:type="auto"/>
          </w:tcPr>
          <w:p w:rsidR="007725FB" w:rsidRPr="00F0087A" w:rsidRDefault="007725FB">
            <w:pPr>
              <w:pStyle w:val="TableText"/>
              <w:numPr>
                <w:ilvl w:val="0"/>
                <w:numId w:val="18"/>
              </w:numPr>
              <w:spacing w:after="12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solve problems using the principle of the conservation of momentum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Knowledge"/>
              <w:numPr>
                <w:ilvl w:val="1"/>
                <w:numId w:val="18"/>
              </w:numPr>
              <w:rPr>
                <w:rFonts w:asciiTheme="minorHAnsi" w:eastAsiaTheme="minorEastAsia" w:hAnsiTheme="minorHAnsi" w:cs="Gill Sans MT"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Solve problems on linear dynamic systems involving the equations of motion and the principle of the conservation of momentum</w:t>
            </w:r>
          </w:p>
        </w:tc>
      </w:tr>
      <w:tr w:rsidR="007725FB" w:rsidRPr="00F0087A">
        <w:tc>
          <w:tcPr>
            <w:tcW w:w="0" w:type="auto"/>
            <w:tcBorders>
              <w:right w:val="nil"/>
            </w:tcBorders>
            <w:shd w:val="clear" w:color="auto" w:fill="99CCFF"/>
          </w:tcPr>
          <w:p w:rsidR="007725FB" w:rsidRPr="00F0087A" w:rsidRDefault="007725FB">
            <w:pPr>
              <w:pStyle w:val="TableText"/>
              <w:jc w:val="both"/>
              <w:rPr>
                <w:rFonts w:asciiTheme="minorHAnsi" w:eastAsiaTheme="minorEastAsia" w:hAnsiTheme="minorHAnsi" w:cs="Gill Sans MT"/>
                <w:b/>
                <w:bCs/>
                <w:color w:val="000080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b/>
                <w:bCs/>
                <w:color w:val="000080"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99CCFF"/>
          </w:tcPr>
          <w:p w:rsidR="007725FB" w:rsidRPr="00F0087A" w:rsidRDefault="007725FB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color w:val="000080"/>
                <w:sz w:val="22"/>
                <w:szCs w:val="22"/>
              </w:rPr>
            </w:pP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538" w:type="dxa"/>
          </w:tcPr>
          <w:p w:rsidR="007725FB" w:rsidRPr="00F0087A" w:rsidRDefault="007725FB">
            <w:pPr>
              <w:ind w:left="185"/>
              <w:rPr>
                <w:rFonts w:asciiTheme="minorHAnsi" w:eastAsiaTheme="minorEastAsia" w:hAnsiTheme="minorHAnsi" w:cs="Gill Sans MT"/>
                <w:i/>
                <w:iCs/>
              </w:rPr>
            </w:pPr>
            <w:r w:rsidRPr="00F0087A">
              <w:rPr>
                <w:rFonts w:asciiTheme="minorHAnsi" w:eastAsiaTheme="minorEastAsia" w:hAnsiTheme="minorHAnsi" w:cs="Gill Sans MT"/>
              </w:rPr>
              <w:t>To provide candidates with knowledge and understanding of dynamics in a marine engineering context</w:t>
            </w: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  <w:highlight w:val="yellow"/>
              </w:rPr>
            </w:pPr>
          </w:p>
        </w:tc>
      </w:tr>
      <w:tr w:rsidR="007725FB" w:rsidRPr="00F0087A">
        <w:trPr>
          <w:cantSplit/>
        </w:trPr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spacing w:before="0" w:after="0" w:line="240" w:lineRule="auto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MNTB NOS (Jan 2006) – C11 Prepare and operate vessel propulsion machinery and ancillary systems</w:t>
            </w:r>
          </w:p>
          <w:p w:rsidR="007725FB" w:rsidRPr="00F0087A" w:rsidRDefault="007725FB">
            <w:pPr>
              <w:pStyle w:val="TableText"/>
              <w:spacing w:before="0" w:after="0" w:line="240" w:lineRule="auto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  <w:p w:rsidR="007725FB" w:rsidRPr="00F0087A" w:rsidRDefault="007725FB">
            <w:pPr>
              <w:pStyle w:val="TableText"/>
              <w:spacing w:before="0" w:after="0" w:line="240" w:lineRule="auto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C12 Operate vessel auxiliaries and service machinery</w:t>
            </w:r>
          </w:p>
          <w:p w:rsidR="007725FB" w:rsidRPr="00F0087A" w:rsidRDefault="007725FB">
            <w:pPr>
              <w:pStyle w:val="TableText"/>
              <w:spacing w:before="0" w:after="0" w:line="240" w:lineRule="auto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  <w:p w:rsidR="007725FB" w:rsidRPr="00F0087A" w:rsidRDefault="007725FB">
            <w:pPr>
              <w:pStyle w:val="TableText"/>
              <w:spacing w:before="0" w:after="0" w:line="240" w:lineRule="auto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C34 Carry out maintenance of vessel mechanical machinery and systems</w:t>
            </w: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Maritime and Coastguard Agency Marine Guidance Notice regarding Certificates of Competency – Engine Department  </w:t>
            </w: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MSA Assessment Strategy</w:t>
            </w:r>
          </w:p>
          <w:p w:rsidR="007725FB" w:rsidRPr="00F0087A" w:rsidRDefault="007725FB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MCA requirements</w:t>
            </w: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MCA….</w:t>
            </w: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Transportation</w:t>
            </w: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use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7725FB" w:rsidRPr="00F0087A">
        <w:tc>
          <w:tcPr>
            <w:tcW w:w="0" w:type="auto"/>
          </w:tcPr>
          <w:p w:rsidR="007725FB" w:rsidRPr="00F0087A" w:rsidRDefault="007725FB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7725FB" w:rsidRPr="00F0087A" w:rsidRDefault="007725FB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F0087A">
              <w:rPr>
                <w:rFonts w:asciiTheme="minorHAnsi" w:eastAsiaTheme="minorEastAsia" w:hAnsiTheme="minorHAnsi" w:cs="Gill Sans MT"/>
                <w:sz w:val="22"/>
                <w:szCs w:val="22"/>
              </w:rPr>
              <w:t>40</w:t>
            </w:r>
          </w:p>
        </w:tc>
      </w:tr>
    </w:tbl>
    <w:p w:rsidR="007725FB" w:rsidRPr="001A5FC4" w:rsidRDefault="007725FB">
      <w:pPr>
        <w:rPr>
          <w:rFonts w:asciiTheme="minorHAnsi" w:hAnsiTheme="minorHAnsi" w:cs="Gill Sans MT"/>
          <w:color w:val="000080"/>
        </w:rPr>
      </w:pPr>
    </w:p>
    <w:p w:rsidR="007725FB" w:rsidRPr="001A5FC4" w:rsidRDefault="007725FB">
      <w:pPr>
        <w:rPr>
          <w:rFonts w:asciiTheme="minorHAnsi" w:hAnsiTheme="minorHAnsi"/>
          <w:color w:val="000080"/>
        </w:rPr>
      </w:pPr>
    </w:p>
    <w:sectPr w:rsidR="007725FB" w:rsidRPr="001A5FC4" w:rsidSect="007725FB">
      <w:footerReference w:type="default" r:id="rId7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87A" w:rsidRDefault="00F0087A">
      <w:r>
        <w:separator/>
      </w:r>
    </w:p>
  </w:endnote>
  <w:endnote w:type="continuationSeparator" w:id="0">
    <w:p w:rsidR="00F0087A" w:rsidRDefault="00F00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FB" w:rsidRDefault="007725FB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</w:t>
    </w:r>
    <w:r w:rsidR="001A5FC4">
      <w:rPr>
        <w:rFonts w:ascii="Calibri" w:hAnsi="Calibri" w:cs="Calibri"/>
      </w:rPr>
      <w:t>s Alliance</w:t>
    </w:r>
    <w:r>
      <w:rPr>
        <w:rFonts w:ascii="Calibri" w:hAnsi="Calibri" w:cs="Calibri"/>
      </w:rPr>
      <w:tab/>
      <w:t xml:space="preserve"> Page </w:t>
    </w:r>
    <w:r w:rsidR="00562432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562432">
      <w:rPr>
        <w:rFonts w:ascii="Calibri" w:hAnsi="Calibri" w:cs="Calibri"/>
      </w:rPr>
      <w:fldChar w:fldCharType="separate"/>
    </w:r>
    <w:r w:rsidR="001A5FC4">
      <w:rPr>
        <w:rFonts w:ascii="Calibri" w:hAnsi="Calibri" w:cs="Calibri"/>
        <w:noProof/>
      </w:rPr>
      <w:t>1</w:t>
    </w:r>
    <w:r w:rsidR="00562432">
      <w:rPr>
        <w:rFonts w:ascii="Calibri" w:hAnsi="Calibri" w:cs="Calibri"/>
      </w:rPr>
      <w:fldChar w:fldCharType="end"/>
    </w:r>
  </w:p>
  <w:p w:rsidR="007725FB" w:rsidRDefault="007725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87A" w:rsidRDefault="00F0087A">
      <w:r>
        <w:separator/>
      </w:r>
    </w:p>
  </w:footnote>
  <w:footnote w:type="continuationSeparator" w:id="0">
    <w:p w:rsidR="00F0087A" w:rsidRDefault="00F00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20CF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8">
    <w:nsid w:val="5314683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9">
    <w:nsid w:val="535B2278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  <w:num w:numId="16">
    <w:abstractNumId w:val="0"/>
  </w:num>
  <w:num w:numId="17">
    <w:abstractNumId w:val="9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5FB"/>
    <w:rsid w:val="001A5FC4"/>
    <w:rsid w:val="00562432"/>
    <w:rsid w:val="007725FB"/>
    <w:rsid w:val="00F0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32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2432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2432"/>
    <w:pPr>
      <w:keepNext/>
      <w:numPr>
        <w:numId w:val="13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562432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562432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62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432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562432"/>
    <w:pPr>
      <w:numPr>
        <w:numId w:val="9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562432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562432"/>
    <w:rPr>
      <w:b/>
      <w:bCs/>
    </w:rPr>
  </w:style>
  <w:style w:type="paragraph" w:customStyle="1" w:styleId="Knowledge">
    <w:name w:val="Knowledge"/>
    <w:basedOn w:val="Normal"/>
    <w:uiPriority w:val="99"/>
    <w:rsid w:val="00562432"/>
    <w:pPr>
      <w:spacing w:before="120" w:after="120"/>
    </w:pPr>
  </w:style>
  <w:style w:type="paragraph" w:styleId="ListNumber">
    <w:name w:val="List Number"/>
    <w:basedOn w:val="Normal"/>
    <w:uiPriority w:val="99"/>
    <w:rsid w:val="00562432"/>
    <w:pPr>
      <w:numPr>
        <w:ilvl w:val="1"/>
        <w:numId w:val="10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5624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432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562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2432"/>
    <w:rPr>
      <w:rFonts w:ascii="Times New Roman" w:hAnsi="Times New Roman" w:cs="Times New Roman"/>
      <w:sz w:val="2"/>
      <w:szCs w:val="2"/>
      <w:lang w:eastAsia="en-US"/>
    </w:rPr>
  </w:style>
  <w:style w:type="character" w:styleId="CommentReference">
    <w:name w:val="annotation reference"/>
    <w:basedOn w:val="DefaultParagraphFont"/>
    <w:uiPriority w:val="99"/>
    <w:rsid w:val="00562432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624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432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2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624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2745</Characters>
  <Application>Microsoft Office Word</Application>
  <DocSecurity>0</DocSecurity>
  <Lines>22</Lines>
  <Paragraphs>6</Paragraphs>
  <ScaleCrop>false</ScaleCrop>
  <Company>&lt;arabianhorse&gt;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4</cp:revision>
  <dcterms:created xsi:type="dcterms:W3CDTF">2010-08-12T07:34:00Z</dcterms:created>
  <dcterms:modified xsi:type="dcterms:W3CDTF">2013-08-19T13:32:00Z</dcterms:modified>
</cp:coreProperties>
</file>