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C1" w:rsidRPr="005049C1" w:rsidRDefault="005049C1">
      <w:pPr>
        <w:rPr>
          <w:rFonts w:asciiTheme="minorHAnsi" w:hAnsiTheme="minorHAnsi"/>
          <w:b/>
        </w:rPr>
      </w:pPr>
      <w:r w:rsidRPr="005049C1">
        <w:rPr>
          <w:rFonts w:asciiTheme="minorHAnsi" w:hAnsiTheme="minorHAnsi"/>
          <w:b/>
        </w:rPr>
        <w:t>QCF Unit 33</w:t>
      </w:r>
    </w:p>
    <w:p w:rsidR="005049C1" w:rsidRPr="005049C1" w:rsidRDefault="005049C1">
      <w:pPr>
        <w:rPr>
          <w:rFonts w:asciiTheme="minorHAnsi" w:hAnsiTheme="minorHAnsi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1260"/>
        <w:gridCol w:w="5430"/>
      </w:tblGrid>
      <w:tr w:rsidR="00CA321B" w:rsidRPr="00446E40" w:rsidTr="005049C1">
        <w:tc>
          <w:tcPr>
            <w:tcW w:w="2808" w:type="dxa"/>
            <w:shd w:val="clear" w:color="auto" w:fill="FFFFFF" w:themeFill="background1"/>
          </w:tcPr>
          <w:p w:rsidR="00CA321B" w:rsidRPr="00446E40" w:rsidRDefault="00CA321B" w:rsidP="005049C1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Title:</w:t>
            </w:r>
          </w:p>
        </w:tc>
        <w:tc>
          <w:tcPr>
            <w:tcW w:w="6690" w:type="dxa"/>
            <w:gridSpan w:val="2"/>
            <w:shd w:val="clear" w:color="auto" w:fill="FFFFFF" w:themeFill="background1"/>
          </w:tcPr>
          <w:p w:rsidR="00CA321B" w:rsidRPr="00446E40" w:rsidRDefault="005049C1" w:rsidP="005049C1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Marine heat e</w:t>
            </w:r>
            <w:r w:rsidR="00CA321B" w:rsidRPr="00446E40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ngines</w:t>
            </w:r>
          </w:p>
        </w:tc>
      </w:tr>
      <w:tr w:rsidR="00CA321B" w:rsidRPr="00446E40" w:rsidTr="005049C1">
        <w:tc>
          <w:tcPr>
            <w:tcW w:w="2808" w:type="dxa"/>
            <w:shd w:val="clear" w:color="auto" w:fill="FFFFFF" w:themeFill="background1"/>
          </w:tcPr>
          <w:p w:rsidR="00CA321B" w:rsidRPr="00446E40" w:rsidRDefault="005049C1" w:rsidP="005049C1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QCF </w:t>
            </w:r>
            <w:r w:rsidR="00CA321B"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Level:</w:t>
            </w:r>
          </w:p>
        </w:tc>
        <w:tc>
          <w:tcPr>
            <w:tcW w:w="6690" w:type="dxa"/>
            <w:gridSpan w:val="2"/>
            <w:shd w:val="clear" w:color="auto" w:fill="FFFFFF" w:themeFill="background1"/>
          </w:tcPr>
          <w:p w:rsidR="00CA321B" w:rsidRPr="00446E40" w:rsidRDefault="00CA321B" w:rsidP="005049C1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3</w:t>
            </w:r>
          </w:p>
        </w:tc>
      </w:tr>
      <w:tr w:rsidR="00CA321B" w:rsidRPr="00446E40" w:rsidTr="005049C1">
        <w:tc>
          <w:tcPr>
            <w:tcW w:w="2808" w:type="dxa"/>
            <w:shd w:val="clear" w:color="auto" w:fill="FFFFFF" w:themeFill="background1"/>
          </w:tcPr>
          <w:p w:rsidR="00CA321B" w:rsidRPr="00446E40" w:rsidRDefault="00CA321B" w:rsidP="005049C1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Credit value:</w:t>
            </w:r>
          </w:p>
        </w:tc>
        <w:tc>
          <w:tcPr>
            <w:tcW w:w="6690" w:type="dxa"/>
            <w:gridSpan w:val="2"/>
            <w:shd w:val="clear" w:color="auto" w:fill="FFFFFF" w:themeFill="background1"/>
          </w:tcPr>
          <w:p w:rsidR="00CA321B" w:rsidRPr="00446E40" w:rsidRDefault="00CA321B" w:rsidP="005049C1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4</w:t>
            </w:r>
          </w:p>
        </w:tc>
      </w:tr>
      <w:tr w:rsidR="00CA321B" w:rsidRPr="00446E40" w:rsidTr="005049C1">
        <w:trPr>
          <w:trHeight w:val="70"/>
        </w:trPr>
        <w:tc>
          <w:tcPr>
            <w:tcW w:w="4068" w:type="dxa"/>
            <w:gridSpan w:val="2"/>
            <w:shd w:val="clear" w:color="auto" w:fill="FFFFFF" w:themeFill="background1"/>
          </w:tcPr>
          <w:p w:rsidR="00CA321B" w:rsidRPr="00446E40" w:rsidRDefault="00CA321B">
            <w:pPr>
              <w:pStyle w:val="TableColumnHeader"/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Learning outcomes</w:t>
            </w: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CA321B" w:rsidRPr="00446E40" w:rsidRDefault="00CA321B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b w:val="0"/>
                <w:bCs w:val="0"/>
                <w:i/>
                <w:iCs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430" w:type="dxa"/>
            <w:shd w:val="clear" w:color="auto" w:fill="FFFFFF" w:themeFill="background1"/>
          </w:tcPr>
          <w:p w:rsidR="00CA321B" w:rsidRPr="00446E40" w:rsidRDefault="00CA321B">
            <w:pPr>
              <w:pStyle w:val="TableColumnHeader"/>
              <w:tabs>
                <w:tab w:val="left" w:pos="2307"/>
                <w:tab w:val="left" w:pos="2790"/>
              </w:tabs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criteria</w:t>
            </w: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ab/>
            </w: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CA321B" w:rsidRPr="00446E40" w:rsidRDefault="00CA321B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CA321B" w:rsidRPr="00446E40">
        <w:trPr>
          <w:cantSplit/>
        </w:trPr>
        <w:tc>
          <w:tcPr>
            <w:tcW w:w="4068" w:type="dxa"/>
            <w:gridSpan w:val="2"/>
          </w:tcPr>
          <w:p w:rsidR="00CA321B" w:rsidRPr="00446E40" w:rsidRDefault="00CA321B">
            <w:pPr>
              <w:pStyle w:val="TableListNumber"/>
              <w:numPr>
                <w:ilvl w:val="0"/>
                <w:numId w:val="9"/>
              </w:numPr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  <w:sz w:val="22"/>
                <w:szCs w:val="22"/>
              </w:rPr>
              <w:t>Be able to determine the effects of applying heat energy to solids and liquids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ListNumber"/>
              <w:numPr>
                <w:ilvl w:val="1"/>
                <w:numId w:val="9"/>
              </w:numPr>
              <w:spacing w:before="120"/>
              <w:ind w:left="610" w:hanging="423"/>
              <w:jc w:val="left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State practical examples, related to the marine industry, of thermal expansion and contraction</w:t>
            </w:r>
          </w:p>
          <w:p w:rsidR="00CA321B" w:rsidRPr="00446E40" w:rsidRDefault="00CA321B">
            <w:pPr>
              <w:pStyle w:val="ListNumber"/>
              <w:numPr>
                <w:ilvl w:val="1"/>
                <w:numId w:val="9"/>
              </w:numPr>
              <w:ind w:left="610" w:hanging="423"/>
              <w:jc w:val="left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Solve problems relating to change of temperature and change of dimensions of solids and liquids</w:t>
            </w:r>
          </w:p>
          <w:p w:rsidR="00CA321B" w:rsidRPr="00446E40" w:rsidRDefault="00CA321B">
            <w:pPr>
              <w:pStyle w:val="ListNumber"/>
              <w:numPr>
                <w:ilvl w:val="1"/>
                <w:numId w:val="9"/>
              </w:numPr>
              <w:ind w:left="610" w:hanging="423"/>
              <w:jc w:val="left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Solve problems relating to mass, specific heat capacity and temperature change</w:t>
            </w:r>
          </w:p>
          <w:p w:rsidR="00CA321B" w:rsidRPr="00446E40" w:rsidRDefault="00CA321B">
            <w:pPr>
              <w:pStyle w:val="ListNumber"/>
              <w:numPr>
                <w:ilvl w:val="1"/>
                <w:numId w:val="9"/>
              </w:numPr>
              <w:ind w:left="610" w:hanging="423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Describe how changes of state occur without change of temperature</w:t>
            </w:r>
          </w:p>
        </w:tc>
      </w:tr>
      <w:tr w:rsidR="00CA321B" w:rsidRPr="00446E40">
        <w:trPr>
          <w:cantSplit/>
        </w:trPr>
        <w:tc>
          <w:tcPr>
            <w:tcW w:w="4068" w:type="dxa"/>
            <w:gridSpan w:val="2"/>
          </w:tcPr>
          <w:p w:rsidR="00CA321B" w:rsidRPr="00446E40" w:rsidRDefault="00CA321B">
            <w:pPr>
              <w:pStyle w:val="TableListNumber"/>
              <w:numPr>
                <w:ilvl w:val="0"/>
                <w:numId w:val="9"/>
              </w:numPr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  <w:sz w:val="22"/>
                <w:szCs w:val="22"/>
              </w:rPr>
              <w:t>Understand heat transfer and the effect of insulation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ListNumber"/>
              <w:numPr>
                <w:ilvl w:val="1"/>
                <w:numId w:val="9"/>
              </w:numPr>
              <w:spacing w:before="120"/>
              <w:ind w:left="610" w:hanging="423"/>
              <w:jc w:val="left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Define and give examples of conduction, convection and radiation applied to the marine industrial environment</w:t>
            </w:r>
          </w:p>
          <w:p w:rsidR="00CA321B" w:rsidRPr="00446E40" w:rsidRDefault="00CA321B">
            <w:pPr>
              <w:pStyle w:val="ListNumber"/>
              <w:numPr>
                <w:ilvl w:val="1"/>
                <w:numId w:val="9"/>
              </w:numPr>
              <w:ind w:left="610" w:hanging="425"/>
              <w:jc w:val="left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 xml:space="preserve">Identify the direction of transfer of heat energy </w:t>
            </w:r>
          </w:p>
          <w:p w:rsidR="00CA321B" w:rsidRPr="00446E40" w:rsidRDefault="00CA321B">
            <w:pPr>
              <w:pStyle w:val="ListNumber"/>
              <w:numPr>
                <w:ilvl w:val="1"/>
                <w:numId w:val="9"/>
              </w:numPr>
              <w:ind w:left="610" w:hanging="425"/>
              <w:jc w:val="left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Determine the heat transfer through a single wall</w:t>
            </w:r>
          </w:p>
          <w:p w:rsidR="00CA321B" w:rsidRPr="00446E40" w:rsidRDefault="00CA321B">
            <w:pPr>
              <w:pStyle w:val="ListNumber"/>
              <w:numPr>
                <w:ilvl w:val="1"/>
                <w:numId w:val="9"/>
              </w:numPr>
              <w:ind w:left="610" w:hanging="425"/>
              <w:jc w:val="left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State the effects of insulation on heat transfer</w:t>
            </w:r>
          </w:p>
        </w:tc>
      </w:tr>
      <w:tr w:rsidR="00CA321B" w:rsidRPr="00446E40">
        <w:trPr>
          <w:cantSplit/>
        </w:trPr>
        <w:tc>
          <w:tcPr>
            <w:tcW w:w="4068" w:type="dxa"/>
            <w:gridSpan w:val="2"/>
          </w:tcPr>
          <w:p w:rsidR="00CA321B" w:rsidRPr="00446E40" w:rsidRDefault="00CA321B">
            <w:pPr>
              <w:pStyle w:val="TableListNumber"/>
              <w:numPr>
                <w:ilvl w:val="0"/>
                <w:numId w:val="9"/>
              </w:numPr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  <w:sz w:val="22"/>
                <w:szCs w:val="22"/>
              </w:rPr>
              <w:t xml:space="preserve">Be able to determine the properties of working fluids </w:t>
            </w:r>
          </w:p>
          <w:p w:rsidR="00CA321B" w:rsidRPr="00446E40" w:rsidRDefault="00CA321B">
            <w:pPr>
              <w:pStyle w:val="TableListNumber"/>
              <w:numPr>
                <w:ilvl w:val="0"/>
                <w:numId w:val="0"/>
              </w:numPr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  <w:tc>
          <w:tcPr>
            <w:tcW w:w="5430" w:type="dxa"/>
          </w:tcPr>
          <w:p w:rsidR="00CA321B" w:rsidRPr="00446E40" w:rsidRDefault="00CA321B">
            <w:pPr>
              <w:pStyle w:val="ListNumber"/>
              <w:numPr>
                <w:ilvl w:val="0"/>
                <w:numId w:val="0"/>
              </w:numPr>
              <w:spacing w:before="120"/>
              <w:ind w:left="574" w:hanging="425"/>
              <w:jc w:val="left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3.1   Explain the meaning of the term working fluid and the concept of the state of the working fluid.</w:t>
            </w:r>
          </w:p>
          <w:p w:rsidR="00CA321B" w:rsidRPr="00446E40" w:rsidRDefault="00CA321B">
            <w:pPr>
              <w:pStyle w:val="ListNumber"/>
              <w:numPr>
                <w:ilvl w:val="0"/>
                <w:numId w:val="0"/>
              </w:numPr>
              <w:spacing w:before="120"/>
              <w:ind w:left="574" w:hanging="425"/>
              <w:jc w:val="left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3.2   Apply the gas equations and determine the properties of ideal gases</w:t>
            </w:r>
          </w:p>
        </w:tc>
      </w:tr>
      <w:tr w:rsidR="00CA321B" w:rsidRPr="00446E40">
        <w:trPr>
          <w:cantSplit/>
        </w:trPr>
        <w:tc>
          <w:tcPr>
            <w:tcW w:w="4068" w:type="dxa"/>
            <w:gridSpan w:val="2"/>
          </w:tcPr>
          <w:p w:rsidR="00CA321B" w:rsidRPr="00446E40" w:rsidRDefault="00CA321B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673"/>
              </w:tabs>
              <w:ind w:left="673" w:hanging="313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  <w:sz w:val="22"/>
                <w:szCs w:val="22"/>
              </w:rPr>
              <w:t>4. Be able to sketch thermodynamic processes on p-V diagrams</w:t>
            </w:r>
          </w:p>
          <w:p w:rsidR="00CA321B" w:rsidRPr="00446E40" w:rsidRDefault="00CA321B">
            <w:pPr>
              <w:pStyle w:val="TableListNumber"/>
              <w:numPr>
                <w:ilvl w:val="0"/>
                <w:numId w:val="0"/>
              </w:numPr>
              <w:ind w:left="298" w:hanging="298"/>
              <w:jc w:val="both"/>
              <w:rPr>
                <w:rFonts w:asciiTheme="minorHAnsi" w:eastAsiaTheme="minorEastAsia" w:hAnsiTheme="minorHAnsi" w:cs="Gill Sans MT"/>
                <w:color w:val="000000"/>
                <w:sz w:val="22"/>
                <w:szCs w:val="22"/>
              </w:rPr>
            </w:pPr>
          </w:p>
        </w:tc>
        <w:tc>
          <w:tcPr>
            <w:tcW w:w="5430" w:type="dxa"/>
          </w:tcPr>
          <w:p w:rsidR="00CA321B" w:rsidRPr="00446E40" w:rsidRDefault="00CA321B">
            <w:pPr>
              <w:pStyle w:val="ListNumber"/>
              <w:numPr>
                <w:ilvl w:val="0"/>
                <w:numId w:val="0"/>
              </w:numPr>
              <w:spacing w:before="120"/>
              <w:ind w:left="574" w:hanging="425"/>
              <w:jc w:val="left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4.1  Sketch thermodynamic processes on p-V diagrams for an ideal gas</w:t>
            </w:r>
          </w:p>
          <w:p w:rsidR="00CA321B" w:rsidRPr="00446E40" w:rsidRDefault="00CA321B">
            <w:pPr>
              <w:pStyle w:val="ListNumber"/>
              <w:numPr>
                <w:ilvl w:val="0"/>
                <w:numId w:val="0"/>
              </w:numPr>
              <w:spacing w:before="120"/>
              <w:ind w:left="574" w:hanging="425"/>
              <w:jc w:val="left"/>
              <w:rPr>
                <w:rFonts w:asciiTheme="minorHAnsi" w:eastAsiaTheme="minorEastAsia" w:hAnsiTheme="minorHAnsi" w:cs="Gill Sans MT"/>
                <w:color w:val="000000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4.2   Determine the properties of vapours using thermodynamic property tables</w:t>
            </w:r>
          </w:p>
        </w:tc>
      </w:tr>
      <w:tr w:rsidR="00CA321B" w:rsidRPr="00446E40">
        <w:trPr>
          <w:cantSplit/>
          <w:trHeight w:val="688"/>
        </w:trPr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ind w:left="673" w:hanging="313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  <w:sz w:val="22"/>
                <w:szCs w:val="22"/>
              </w:rPr>
              <w:t>5. Be able to determine the energy of different marine thermodynamic systems using the non-flow and steady flow energy equations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ListNumber"/>
              <w:numPr>
                <w:ilvl w:val="0"/>
                <w:numId w:val="0"/>
              </w:numPr>
              <w:spacing w:before="120"/>
              <w:ind w:left="574" w:hanging="425"/>
              <w:jc w:val="left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5.1   State the types of energy and their units relevant to marine thermodynamic systems</w:t>
            </w:r>
          </w:p>
          <w:p w:rsidR="00CA321B" w:rsidRPr="00446E40" w:rsidRDefault="00CA321B">
            <w:pPr>
              <w:pStyle w:val="Knowledge"/>
              <w:spacing w:before="60" w:after="60"/>
              <w:ind w:left="574" w:hanging="425"/>
              <w:rPr>
                <w:rFonts w:asciiTheme="minorHAnsi" w:eastAsiaTheme="minorEastAsia" w:hAnsiTheme="minorHAnsi" w:cs="Gill Sans MT"/>
                <w:color w:val="000080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5.2   State the terms in the non-flow energy equation</w:t>
            </w:r>
          </w:p>
          <w:p w:rsidR="00CA321B" w:rsidRPr="00446E40" w:rsidRDefault="00CA321B">
            <w:pPr>
              <w:pStyle w:val="Knowledge"/>
              <w:spacing w:before="60" w:after="60"/>
              <w:ind w:left="610" w:hanging="461"/>
              <w:rPr>
                <w:rFonts w:asciiTheme="minorHAnsi" w:eastAsiaTheme="minorEastAsia" w:hAnsiTheme="minorHAnsi" w:cs="Gill Sans MT"/>
                <w:color w:val="000080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5.3   Apply the non-flow energy equation to closed marine thermodynamic systems</w:t>
            </w:r>
          </w:p>
          <w:p w:rsidR="00CA321B" w:rsidRPr="00446E40" w:rsidRDefault="00CA321B">
            <w:pPr>
              <w:pStyle w:val="Knowledge"/>
              <w:spacing w:before="60" w:after="60"/>
              <w:ind w:left="574" w:hanging="425"/>
              <w:rPr>
                <w:rFonts w:asciiTheme="minorHAnsi" w:eastAsiaTheme="minorEastAsia" w:hAnsiTheme="minorHAnsi" w:cs="Gill Sans MT"/>
                <w:color w:val="000080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5.4   State the terms in the steady flow energy equation</w:t>
            </w:r>
          </w:p>
          <w:p w:rsidR="00CA321B" w:rsidRPr="00446E40" w:rsidRDefault="00CA321B">
            <w:pPr>
              <w:pStyle w:val="Knowledge"/>
              <w:spacing w:before="60" w:after="60"/>
              <w:ind w:left="574" w:hanging="425"/>
              <w:rPr>
                <w:rFonts w:asciiTheme="minorHAnsi" w:eastAsiaTheme="minorEastAsia" w:hAnsiTheme="minorHAnsi" w:cs="Gill Sans MT"/>
                <w:color w:val="000080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5.5   Apply the steady flow energy equation to an open marine thermodynamic system</w:t>
            </w:r>
          </w:p>
        </w:tc>
      </w:tr>
      <w:tr w:rsidR="00CA321B" w:rsidRPr="00446E40">
        <w:trPr>
          <w:cantSplit/>
          <w:trHeight w:val="688"/>
        </w:trPr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ind w:left="673" w:hanging="313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  <w:sz w:val="22"/>
                <w:szCs w:val="22"/>
              </w:rPr>
              <w:lastRenderedPageBreak/>
              <w:t>6.  Understand, using an analysis by mass, the combustion of marine grade fuels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Knowledge"/>
              <w:ind w:left="574" w:hanging="425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6.1   State the types of fuels available for use in marine internal combustion engines and boilers</w:t>
            </w:r>
          </w:p>
          <w:p w:rsidR="00CA321B" w:rsidRPr="00446E40" w:rsidRDefault="00CA321B">
            <w:pPr>
              <w:pStyle w:val="Knowledge"/>
              <w:ind w:left="574" w:hanging="425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6.2   State the combustion equations for carbon, hydrogen and sulphur</w:t>
            </w:r>
          </w:p>
          <w:p w:rsidR="00CA321B" w:rsidRPr="00446E40" w:rsidRDefault="00CA321B">
            <w:pPr>
              <w:pStyle w:val="Knowledge"/>
              <w:ind w:left="574" w:hanging="425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6.3   Define the higher and lower calorific values of a marine fuel</w:t>
            </w:r>
          </w:p>
          <w:p w:rsidR="00CA321B" w:rsidRPr="00446E40" w:rsidRDefault="00CA321B">
            <w:pPr>
              <w:pStyle w:val="Knowledge"/>
              <w:ind w:left="574" w:hanging="425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6.4   Calculate the combustion analysis of a marine grade fuel by mass</w:t>
            </w:r>
          </w:p>
          <w:p w:rsidR="00CA321B" w:rsidRPr="00446E40" w:rsidRDefault="00CA321B">
            <w:pPr>
              <w:pStyle w:val="Knowledge"/>
              <w:ind w:left="574" w:hanging="425"/>
              <w:rPr>
                <w:rFonts w:asciiTheme="minorHAnsi" w:eastAsiaTheme="minorEastAsia" w:hAnsiTheme="minorHAnsi" w:cs="Gill Sans MT"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6.5   State the effect of insufficient and excess air in relation to marine internal combustion engines and boilers</w:t>
            </w:r>
          </w:p>
        </w:tc>
      </w:tr>
      <w:tr w:rsidR="00CA321B" w:rsidRPr="00446E40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CA321B" w:rsidRPr="00446E40" w:rsidRDefault="00CA321B">
            <w:pPr>
              <w:pStyle w:val="TableText"/>
              <w:jc w:val="both"/>
              <w:rPr>
                <w:rFonts w:asciiTheme="minorHAnsi" w:eastAsiaTheme="minorEastAsia" w:hAnsiTheme="minorHAnsi" w:cs="Gill Sans MT"/>
                <w:b/>
                <w:bCs/>
                <w:color w:val="000080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b/>
                <w:bCs/>
                <w:color w:val="000080"/>
                <w:sz w:val="22"/>
                <w:szCs w:val="22"/>
              </w:rPr>
              <w:t>Additional information about the unit</w:t>
            </w:r>
          </w:p>
        </w:tc>
        <w:tc>
          <w:tcPr>
            <w:tcW w:w="5430" w:type="dxa"/>
            <w:tcBorders>
              <w:left w:val="nil"/>
            </w:tcBorders>
            <w:shd w:val="clear" w:color="auto" w:fill="99CCFF"/>
          </w:tcPr>
          <w:p w:rsidR="00CA321B" w:rsidRPr="00446E40" w:rsidRDefault="00CA321B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color w:val="000080"/>
                <w:sz w:val="22"/>
                <w:szCs w:val="22"/>
              </w:rPr>
            </w:pPr>
          </w:p>
        </w:tc>
      </w:tr>
      <w:tr w:rsidR="00CA321B" w:rsidRPr="00446E40"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Unit aim(s)</w:t>
            </w:r>
          </w:p>
        </w:tc>
        <w:tc>
          <w:tcPr>
            <w:tcW w:w="5430" w:type="dxa"/>
          </w:tcPr>
          <w:p w:rsidR="00CA321B" w:rsidRPr="00446E40" w:rsidRDefault="00CA321B">
            <w:pPr>
              <w:ind w:left="149" w:firstLine="36"/>
              <w:rPr>
                <w:rFonts w:asciiTheme="minorHAnsi" w:eastAsiaTheme="minorEastAsia" w:hAnsiTheme="minorHAnsi" w:cs="Gill Sans MT"/>
                <w:i/>
                <w:iCs/>
              </w:rPr>
            </w:pPr>
            <w:r w:rsidRPr="00446E40">
              <w:rPr>
                <w:rFonts w:asciiTheme="minorHAnsi" w:eastAsiaTheme="minorEastAsia" w:hAnsiTheme="minorHAnsi" w:cs="Gill Sans MT"/>
                <w:color w:val="000000"/>
              </w:rPr>
              <w:t>To provide candidates with knowledge and understanding of engineering thermodynamics applied to marine heat engines</w:t>
            </w:r>
          </w:p>
        </w:tc>
      </w:tr>
      <w:tr w:rsidR="00CA321B" w:rsidRPr="00446E40"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Unit expiry date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  <w:highlight w:val="yellow"/>
              </w:rPr>
            </w:pPr>
          </w:p>
        </w:tc>
      </w:tr>
      <w:tr w:rsidR="00CA321B" w:rsidRPr="00446E40">
        <w:trPr>
          <w:cantSplit/>
        </w:trPr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TableText"/>
              <w:ind w:left="171" w:firstLine="14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MNTB NOS (Jan 2006) – C11 Prepare and operate vessel propulsion machinery and ancillary systems </w:t>
            </w:r>
          </w:p>
          <w:p w:rsidR="00CA321B" w:rsidRPr="00446E40" w:rsidRDefault="00CA321B">
            <w:pPr>
              <w:pStyle w:val="TableText"/>
              <w:ind w:left="171" w:firstLine="14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C12 Operate vessel auxiliaries and service machinery</w:t>
            </w:r>
          </w:p>
          <w:p w:rsidR="00CA321B" w:rsidRPr="00446E40" w:rsidRDefault="00CA321B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 C34 Carry out maintenance of vessel mechanical machinery and systems</w:t>
            </w:r>
          </w:p>
        </w:tc>
      </w:tr>
      <w:tr w:rsidR="00CA321B" w:rsidRPr="00446E40"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Maritime and Coastguard Agency Marine Guidance Notice regarding Certificates of Competency – Engine Department</w:t>
            </w:r>
          </w:p>
        </w:tc>
      </w:tr>
      <w:tr w:rsidR="00CA321B" w:rsidRPr="00446E40"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TableText"/>
              <w:spacing w:before="60" w:after="60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MSA Assessment Strategy</w:t>
            </w:r>
          </w:p>
          <w:p w:rsidR="00CA321B" w:rsidRPr="00446E40" w:rsidRDefault="00CA321B">
            <w:pPr>
              <w:pStyle w:val="TableText"/>
              <w:spacing w:before="60" w:after="60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MCA Requirements</w:t>
            </w:r>
          </w:p>
        </w:tc>
      </w:tr>
      <w:tr w:rsidR="00CA321B" w:rsidRPr="00446E40"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MCA….</w:t>
            </w:r>
          </w:p>
        </w:tc>
      </w:tr>
      <w:tr w:rsidR="00CA321B" w:rsidRPr="00446E40"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Transportation</w:t>
            </w:r>
          </w:p>
        </w:tc>
      </w:tr>
      <w:tr w:rsidR="00CA321B" w:rsidRPr="00446E40"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Scottish Qualifications Authority</w:t>
            </w:r>
          </w:p>
        </w:tc>
      </w:tr>
      <w:tr w:rsidR="00CA321B" w:rsidRPr="00446E40"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use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CA321B" w:rsidRPr="00446E40"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CA321B" w:rsidRPr="00446E40">
        <w:tc>
          <w:tcPr>
            <w:tcW w:w="4068" w:type="dxa"/>
            <w:gridSpan w:val="2"/>
          </w:tcPr>
          <w:p w:rsidR="00CA321B" w:rsidRPr="00446E40" w:rsidRDefault="00CA321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Guided Learning Hours</w:t>
            </w:r>
          </w:p>
        </w:tc>
        <w:tc>
          <w:tcPr>
            <w:tcW w:w="5430" w:type="dxa"/>
          </w:tcPr>
          <w:p w:rsidR="00CA321B" w:rsidRPr="00446E40" w:rsidRDefault="00CA321B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446E40">
              <w:rPr>
                <w:rFonts w:asciiTheme="minorHAnsi" w:eastAsiaTheme="minorEastAsia" w:hAnsiTheme="minorHAnsi" w:cs="Gill Sans MT"/>
                <w:sz w:val="22"/>
                <w:szCs w:val="22"/>
              </w:rPr>
              <w:t>40</w:t>
            </w:r>
          </w:p>
        </w:tc>
      </w:tr>
    </w:tbl>
    <w:p w:rsidR="00CA321B" w:rsidRPr="005049C1" w:rsidRDefault="00CA321B">
      <w:pPr>
        <w:rPr>
          <w:rFonts w:asciiTheme="minorHAnsi" w:hAnsiTheme="minorHAnsi" w:cs="Gill Sans MT"/>
          <w:color w:val="000080"/>
        </w:rPr>
      </w:pPr>
    </w:p>
    <w:p w:rsidR="00CA321B" w:rsidRPr="005049C1" w:rsidRDefault="00CA321B">
      <w:pPr>
        <w:rPr>
          <w:rFonts w:asciiTheme="minorHAnsi" w:hAnsiTheme="minorHAnsi"/>
          <w:color w:val="000080"/>
        </w:rPr>
      </w:pPr>
    </w:p>
    <w:sectPr w:rsidR="00CA321B" w:rsidRPr="005049C1" w:rsidSect="00CA321B">
      <w:footerReference w:type="default" r:id="rId7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E40" w:rsidRDefault="00446E40">
      <w:r>
        <w:separator/>
      </w:r>
    </w:p>
  </w:endnote>
  <w:endnote w:type="continuationSeparator" w:id="0">
    <w:p w:rsidR="00446E40" w:rsidRDefault="00446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21B" w:rsidRDefault="00CA321B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Skill</w:t>
    </w:r>
    <w:r w:rsidR="005049C1">
      <w:rPr>
        <w:rFonts w:ascii="Calibri" w:hAnsi="Calibri" w:cs="Calibri"/>
      </w:rPr>
      <w:t>s Alliance</w:t>
    </w:r>
    <w:r>
      <w:rPr>
        <w:rFonts w:ascii="Calibri" w:hAnsi="Calibri" w:cs="Calibri"/>
      </w:rPr>
      <w:tab/>
      <w:t xml:space="preserve"> Page </w:t>
    </w:r>
    <w:r w:rsidR="00580B6B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580B6B">
      <w:rPr>
        <w:rFonts w:ascii="Calibri" w:hAnsi="Calibri" w:cs="Calibri"/>
      </w:rPr>
      <w:fldChar w:fldCharType="separate"/>
    </w:r>
    <w:r w:rsidR="005049C1">
      <w:rPr>
        <w:rFonts w:ascii="Calibri" w:hAnsi="Calibri" w:cs="Calibri"/>
        <w:noProof/>
      </w:rPr>
      <w:t>1</w:t>
    </w:r>
    <w:r w:rsidR="00580B6B">
      <w:rPr>
        <w:rFonts w:ascii="Calibri" w:hAnsi="Calibri" w:cs="Calibri"/>
      </w:rPr>
      <w:fldChar w:fldCharType="end"/>
    </w:r>
  </w:p>
  <w:p w:rsidR="00CA321B" w:rsidRDefault="00CA32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E40" w:rsidRDefault="00446E40">
      <w:r>
        <w:separator/>
      </w:r>
    </w:p>
  </w:footnote>
  <w:footnote w:type="continuationSeparator" w:id="0">
    <w:p w:rsidR="00446E40" w:rsidRDefault="00446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227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6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7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8">
    <w:nsid w:val="72556FE2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21B"/>
    <w:rsid w:val="00446E40"/>
    <w:rsid w:val="005049C1"/>
    <w:rsid w:val="00580B6B"/>
    <w:rsid w:val="00CA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6B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0B6B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0B6B"/>
    <w:pPr>
      <w:keepNext/>
      <w:numPr>
        <w:numId w:val="11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580B6B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580B6B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80B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B6B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580B6B"/>
    <w:pPr>
      <w:numPr>
        <w:numId w:val="7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580B6B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580B6B"/>
    <w:rPr>
      <w:b/>
      <w:bCs/>
    </w:rPr>
  </w:style>
  <w:style w:type="paragraph" w:customStyle="1" w:styleId="Knowledge">
    <w:name w:val="Knowledge"/>
    <w:basedOn w:val="Normal"/>
    <w:uiPriority w:val="99"/>
    <w:rsid w:val="00580B6B"/>
    <w:pPr>
      <w:spacing w:before="120" w:after="120"/>
    </w:pPr>
  </w:style>
  <w:style w:type="paragraph" w:styleId="ListNumber">
    <w:name w:val="List Number"/>
    <w:basedOn w:val="Normal"/>
    <w:uiPriority w:val="99"/>
    <w:rsid w:val="00580B6B"/>
    <w:pPr>
      <w:numPr>
        <w:ilvl w:val="1"/>
        <w:numId w:val="8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580B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B6B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580B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0B6B"/>
    <w:rPr>
      <w:rFonts w:ascii="Times New Roman" w:hAnsi="Times New Roman" w:cs="Times New Roman"/>
      <w:sz w:val="2"/>
      <w:szCs w:val="2"/>
      <w:lang w:eastAsia="en-US"/>
    </w:rPr>
  </w:style>
  <w:style w:type="character" w:styleId="CommentReference">
    <w:name w:val="annotation reference"/>
    <w:basedOn w:val="DefaultParagraphFont"/>
    <w:uiPriority w:val="99"/>
    <w:rsid w:val="00580B6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80B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B6B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80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80B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2975</Characters>
  <Application>Microsoft Office Word</Application>
  <DocSecurity>0</DocSecurity>
  <Lines>24</Lines>
  <Paragraphs>6</Paragraphs>
  <ScaleCrop>false</ScaleCrop>
  <Company>&lt;arabianhorse&gt;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3</cp:revision>
  <dcterms:created xsi:type="dcterms:W3CDTF">2010-08-12T07:36:00Z</dcterms:created>
  <dcterms:modified xsi:type="dcterms:W3CDTF">2013-08-19T13:29:00Z</dcterms:modified>
</cp:coreProperties>
</file>