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82" w:rsidRPr="00323C82" w:rsidRDefault="00323C82">
      <w:pPr>
        <w:rPr>
          <w:rFonts w:asciiTheme="minorHAnsi" w:hAnsiTheme="minorHAnsi"/>
          <w:b/>
        </w:rPr>
      </w:pPr>
      <w:r w:rsidRPr="00323C82">
        <w:rPr>
          <w:rFonts w:asciiTheme="minorHAnsi" w:hAnsiTheme="minorHAnsi"/>
          <w:b/>
        </w:rPr>
        <w:t>MSQ Unit 39</w:t>
      </w:r>
    </w:p>
    <w:p w:rsidR="00323C82" w:rsidRPr="00323C82" w:rsidRDefault="00323C82">
      <w:pPr>
        <w:rPr>
          <w:rFonts w:asciiTheme="minorHAnsi" w:hAnsiTheme="minorHAnsi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3"/>
        <w:gridCol w:w="5538"/>
      </w:tblGrid>
      <w:tr w:rsidR="00DD2BE4" w:rsidRPr="001C37C9" w:rsidTr="00323C82">
        <w:tc>
          <w:tcPr>
            <w:tcW w:w="0" w:type="auto"/>
            <w:shd w:val="clear" w:color="auto" w:fill="FFFFFF" w:themeFill="background1"/>
          </w:tcPr>
          <w:p w:rsidR="00DD2BE4" w:rsidRPr="001C37C9" w:rsidRDefault="00DD2BE4" w:rsidP="00323C82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Title:</w:t>
            </w:r>
          </w:p>
        </w:tc>
        <w:tc>
          <w:tcPr>
            <w:tcW w:w="5538" w:type="dxa"/>
            <w:shd w:val="clear" w:color="auto" w:fill="FFFFFF" w:themeFill="background1"/>
          </w:tcPr>
          <w:p w:rsidR="00DD2BE4" w:rsidRPr="001C37C9" w:rsidRDefault="00DD2BE4" w:rsidP="00323C82">
            <w:pPr>
              <w:pStyle w:val="TableText"/>
              <w:tabs>
                <w:tab w:val="left" w:pos="3285"/>
              </w:tabs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Strength of Materials for Marine Engineers</w:t>
            </w:r>
          </w:p>
        </w:tc>
      </w:tr>
      <w:tr w:rsidR="00DD2BE4" w:rsidRPr="001C37C9" w:rsidTr="00323C82">
        <w:tc>
          <w:tcPr>
            <w:tcW w:w="0" w:type="auto"/>
            <w:shd w:val="clear" w:color="auto" w:fill="FFFFFF" w:themeFill="background1"/>
          </w:tcPr>
          <w:p w:rsidR="00DD2BE4" w:rsidRPr="001C37C9" w:rsidRDefault="00DD2BE4" w:rsidP="00323C82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Level:</w:t>
            </w:r>
          </w:p>
        </w:tc>
        <w:tc>
          <w:tcPr>
            <w:tcW w:w="5538" w:type="dxa"/>
            <w:shd w:val="clear" w:color="auto" w:fill="FFFFFF" w:themeFill="background1"/>
          </w:tcPr>
          <w:p w:rsidR="00DD2BE4" w:rsidRPr="001C37C9" w:rsidRDefault="00DD2BE4" w:rsidP="00323C82">
            <w:pPr>
              <w:pStyle w:val="TableText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3</w:t>
            </w:r>
          </w:p>
        </w:tc>
      </w:tr>
      <w:tr w:rsidR="00DD2BE4" w:rsidRPr="001C37C9" w:rsidTr="00323C82">
        <w:tc>
          <w:tcPr>
            <w:tcW w:w="0" w:type="auto"/>
            <w:shd w:val="clear" w:color="auto" w:fill="FFFFFF" w:themeFill="background1"/>
          </w:tcPr>
          <w:p w:rsidR="00DD2BE4" w:rsidRPr="001C37C9" w:rsidRDefault="00DD2BE4" w:rsidP="00323C82">
            <w:pPr>
              <w:pStyle w:val="TableColumnHeader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Credit value:</w:t>
            </w:r>
          </w:p>
        </w:tc>
        <w:tc>
          <w:tcPr>
            <w:tcW w:w="5538" w:type="dxa"/>
            <w:shd w:val="clear" w:color="auto" w:fill="FFFFFF" w:themeFill="background1"/>
          </w:tcPr>
          <w:p w:rsidR="00DD2BE4" w:rsidRPr="001C37C9" w:rsidRDefault="00DD2BE4" w:rsidP="00323C82">
            <w:pPr>
              <w:pStyle w:val="TableText"/>
              <w:spacing w:before="60" w:after="60" w:line="240" w:lineRule="auto"/>
              <w:jc w:val="both"/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b/>
                <w:sz w:val="22"/>
                <w:szCs w:val="22"/>
              </w:rPr>
              <w:t>4</w:t>
            </w:r>
          </w:p>
        </w:tc>
      </w:tr>
      <w:tr w:rsidR="00DD2BE4" w:rsidRPr="001C37C9" w:rsidTr="00323C82">
        <w:trPr>
          <w:trHeight w:val="70"/>
        </w:trPr>
        <w:tc>
          <w:tcPr>
            <w:tcW w:w="0" w:type="auto"/>
            <w:shd w:val="clear" w:color="auto" w:fill="FFFFFF" w:themeFill="background1"/>
          </w:tcPr>
          <w:p w:rsidR="00DD2BE4" w:rsidRPr="001C37C9" w:rsidRDefault="00DD2BE4">
            <w:pPr>
              <w:pStyle w:val="TableColumnHeader"/>
              <w:spacing w:after="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Learning outcomes</w:t>
            </w: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br/>
            </w:r>
          </w:p>
          <w:p w:rsidR="00DD2BE4" w:rsidRPr="001C37C9" w:rsidRDefault="00DD2BE4">
            <w:pPr>
              <w:pStyle w:val="TableColumnHeader"/>
              <w:spacing w:before="0"/>
              <w:rPr>
                <w:rFonts w:asciiTheme="minorHAnsi" w:eastAsiaTheme="minorEastAsia" w:hAnsiTheme="minorHAnsi" w:cs="Gill Sans MT"/>
                <w:b w:val="0"/>
                <w:bCs w:val="0"/>
                <w:i/>
                <w:iCs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  <w:t>The learner will:</w:t>
            </w:r>
          </w:p>
        </w:tc>
        <w:tc>
          <w:tcPr>
            <w:tcW w:w="5538" w:type="dxa"/>
            <w:shd w:val="clear" w:color="auto" w:fill="FFFFFF" w:themeFill="background1"/>
          </w:tcPr>
          <w:p w:rsidR="00DD2BE4" w:rsidRPr="001C37C9" w:rsidRDefault="00DD2BE4">
            <w:pPr>
              <w:pStyle w:val="TableColumnHeader"/>
              <w:tabs>
                <w:tab w:val="left" w:pos="2307"/>
                <w:tab w:val="left" w:pos="2790"/>
              </w:tabs>
              <w:spacing w:after="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Assessment criteria</w:t>
            </w: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ab/>
            </w: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br/>
            </w:r>
          </w:p>
          <w:p w:rsidR="00DD2BE4" w:rsidRPr="001C37C9" w:rsidRDefault="00DD2BE4">
            <w:pPr>
              <w:pStyle w:val="TableColumnHeader"/>
              <w:spacing w:before="0"/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i/>
                <w:iCs/>
                <w:sz w:val="22"/>
                <w:szCs w:val="22"/>
              </w:rPr>
              <w:t>The learner can:</w:t>
            </w:r>
          </w:p>
        </w:tc>
      </w:tr>
      <w:tr w:rsidR="00DD2BE4" w:rsidRPr="001C37C9" w:rsidTr="00323C82">
        <w:trPr>
          <w:cantSplit/>
        </w:trPr>
        <w:tc>
          <w:tcPr>
            <w:tcW w:w="0" w:type="auto"/>
            <w:shd w:val="clear" w:color="auto" w:fill="FFFFFF" w:themeFill="background1"/>
          </w:tcPr>
          <w:p w:rsidR="00DD2BE4" w:rsidRPr="001C37C9" w:rsidRDefault="00DD2BE4">
            <w:pPr>
              <w:pStyle w:val="TableListNumber"/>
              <w:numPr>
                <w:ilvl w:val="0"/>
                <w:numId w:val="9"/>
              </w:numPr>
              <w:spacing w:after="120"/>
              <w:ind w:left="68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Be able to determine shear forces for simply supported beams and cantilevers</w:t>
            </w:r>
          </w:p>
        </w:tc>
        <w:tc>
          <w:tcPr>
            <w:tcW w:w="5538" w:type="dxa"/>
            <w:shd w:val="clear" w:color="auto" w:fill="FFFFFF" w:themeFill="background1"/>
          </w:tcPr>
          <w:p w:rsidR="00DD2BE4" w:rsidRPr="001C37C9" w:rsidRDefault="00DD2BE4">
            <w:pPr>
              <w:pStyle w:val="ListNumber"/>
              <w:numPr>
                <w:ilvl w:val="1"/>
                <w:numId w:val="9"/>
              </w:numPr>
              <w:spacing w:before="120"/>
              <w:ind w:left="600" w:hanging="413"/>
              <w:jc w:val="left"/>
              <w:rPr>
                <w:rFonts w:asciiTheme="minorHAnsi" w:eastAsiaTheme="minorEastAsia" w:hAnsiTheme="minorHAnsi" w:cs="Gill Sans MT"/>
              </w:rPr>
            </w:pPr>
            <w:r w:rsidRPr="001C37C9">
              <w:rPr>
                <w:rFonts w:asciiTheme="minorHAnsi" w:eastAsiaTheme="minorEastAsia" w:hAnsiTheme="minorHAnsi" w:cs="Gill Sans MT"/>
              </w:rPr>
              <w:t>Calculate reactions for a static, simply supported, beam and cantilever</w:t>
            </w:r>
          </w:p>
          <w:p w:rsidR="00DD2BE4" w:rsidRPr="001C37C9" w:rsidRDefault="00DD2BE4">
            <w:pPr>
              <w:pStyle w:val="ListNumber"/>
              <w:numPr>
                <w:ilvl w:val="1"/>
                <w:numId w:val="9"/>
              </w:numPr>
              <w:spacing w:before="120"/>
              <w:ind w:left="600" w:hanging="413"/>
              <w:jc w:val="left"/>
              <w:rPr>
                <w:rFonts w:asciiTheme="minorHAnsi" w:eastAsiaTheme="minorEastAsia" w:hAnsiTheme="minorHAnsi" w:cs="Gill Sans MT"/>
              </w:rPr>
            </w:pPr>
            <w:r w:rsidRPr="001C37C9">
              <w:rPr>
                <w:rFonts w:asciiTheme="minorHAnsi" w:eastAsiaTheme="minorEastAsia" w:hAnsiTheme="minorHAnsi" w:cs="Gill Sans MT"/>
              </w:rPr>
              <w:t>Draw shear force diagrams for a simply supported beam and cantilever</w:t>
            </w:r>
          </w:p>
          <w:p w:rsidR="00DD2BE4" w:rsidRPr="001C37C9" w:rsidRDefault="00DD2BE4">
            <w:pPr>
              <w:pStyle w:val="ListNumber"/>
              <w:numPr>
                <w:ilvl w:val="0"/>
                <w:numId w:val="0"/>
              </w:numPr>
              <w:ind w:left="185"/>
              <w:jc w:val="left"/>
              <w:rPr>
                <w:rFonts w:asciiTheme="minorHAnsi" w:eastAsiaTheme="minorEastAsia" w:hAnsiTheme="minorHAnsi" w:cs="Gill Sans MT"/>
                <w:color w:val="000080"/>
              </w:rPr>
            </w:pPr>
            <w:r w:rsidRPr="001C37C9">
              <w:rPr>
                <w:rFonts w:asciiTheme="minorHAnsi" w:eastAsiaTheme="minorEastAsia" w:hAnsiTheme="minorHAnsi" w:cs="Gill Sans MT"/>
              </w:rPr>
              <w:t>Determine the point of zero shear</w:t>
            </w:r>
          </w:p>
        </w:tc>
      </w:tr>
      <w:tr w:rsidR="00DD2BE4" w:rsidRPr="001C37C9" w:rsidTr="00323C82">
        <w:trPr>
          <w:cantSplit/>
        </w:trPr>
        <w:tc>
          <w:tcPr>
            <w:tcW w:w="0" w:type="auto"/>
            <w:shd w:val="clear" w:color="auto" w:fill="FFFFFF" w:themeFill="background1"/>
          </w:tcPr>
          <w:p w:rsidR="00DD2BE4" w:rsidRPr="001C37C9" w:rsidRDefault="00DD2BE4">
            <w:pPr>
              <w:pStyle w:val="TableListNumber"/>
              <w:numPr>
                <w:ilvl w:val="0"/>
                <w:numId w:val="9"/>
              </w:numPr>
              <w:spacing w:after="120"/>
              <w:ind w:left="68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Be able to determine the bending moment for simply supported beams and cantilevers</w:t>
            </w:r>
          </w:p>
        </w:tc>
        <w:tc>
          <w:tcPr>
            <w:tcW w:w="5538" w:type="dxa"/>
            <w:shd w:val="clear" w:color="auto" w:fill="FFFFFF" w:themeFill="background1"/>
          </w:tcPr>
          <w:p w:rsidR="00DD2BE4" w:rsidRPr="001C37C9" w:rsidRDefault="00DD2BE4">
            <w:pPr>
              <w:pStyle w:val="ListNumber"/>
              <w:numPr>
                <w:ilvl w:val="1"/>
                <w:numId w:val="9"/>
              </w:numPr>
              <w:spacing w:before="120"/>
              <w:ind w:left="600" w:hanging="413"/>
              <w:jc w:val="left"/>
              <w:rPr>
                <w:rFonts w:asciiTheme="minorHAnsi" w:eastAsiaTheme="minorEastAsia" w:hAnsiTheme="minorHAnsi" w:cs="Gill Sans MT"/>
              </w:rPr>
            </w:pPr>
            <w:r w:rsidRPr="001C37C9">
              <w:rPr>
                <w:rFonts w:asciiTheme="minorHAnsi" w:eastAsiaTheme="minorEastAsia" w:hAnsiTheme="minorHAnsi" w:cs="Gill Sans MT"/>
              </w:rPr>
              <w:t>Calculate reactions for a static, simply supported, beam and cantilever</w:t>
            </w:r>
          </w:p>
          <w:p w:rsidR="00DD2BE4" w:rsidRPr="001C37C9" w:rsidRDefault="00DD2BE4">
            <w:pPr>
              <w:pStyle w:val="ListNumber"/>
              <w:numPr>
                <w:ilvl w:val="1"/>
                <w:numId w:val="9"/>
              </w:numPr>
              <w:spacing w:before="120"/>
              <w:ind w:left="600" w:hanging="413"/>
              <w:jc w:val="left"/>
              <w:rPr>
                <w:rFonts w:asciiTheme="minorHAnsi" w:eastAsiaTheme="minorEastAsia" w:hAnsiTheme="minorHAnsi" w:cs="Gill Sans MT"/>
              </w:rPr>
            </w:pPr>
            <w:r w:rsidRPr="001C37C9">
              <w:rPr>
                <w:rFonts w:asciiTheme="minorHAnsi" w:eastAsiaTheme="minorEastAsia" w:hAnsiTheme="minorHAnsi" w:cs="Gill Sans MT"/>
              </w:rPr>
              <w:t>Draw the bending moment diagrams for a simply supported beam and cantilever</w:t>
            </w:r>
          </w:p>
          <w:p w:rsidR="00DD2BE4" w:rsidRPr="001C37C9" w:rsidRDefault="00DD2BE4">
            <w:pPr>
              <w:pStyle w:val="ListNumber"/>
              <w:numPr>
                <w:ilvl w:val="1"/>
                <w:numId w:val="9"/>
              </w:numPr>
              <w:spacing w:before="120"/>
              <w:ind w:left="600" w:hanging="413"/>
              <w:jc w:val="left"/>
              <w:rPr>
                <w:rFonts w:asciiTheme="minorHAnsi" w:eastAsiaTheme="minorEastAsia" w:hAnsiTheme="minorHAnsi" w:cs="Gill Sans MT"/>
              </w:rPr>
            </w:pPr>
            <w:r w:rsidRPr="001C37C9">
              <w:rPr>
                <w:rFonts w:asciiTheme="minorHAnsi" w:eastAsiaTheme="minorEastAsia" w:hAnsiTheme="minorHAnsi" w:cs="Gill Sans MT"/>
              </w:rPr>
              <w:t>Determine the value of the maximum bending moment</w:t>
            </w:r>
          </w:p>
        </w:tc>
      </w:tr>
      <w:tr w:rsidR="00DD2BE4" w:rsidRPr="001C37C9" w:rsidTr="00323C82">
        <w:trPr>
          <w:cantSplit/>
        </w:trPr>
        <w:tc>
          <w:tcPr>
            <w:tcW w:w="0" w:type="auto"/>
            <w:shd w:val="clear" w:color="auto" w:fill="FFFFFF" w:themeFill="background1"/>
          </w:tcPr>
          <w:p w:rsidR="00DD2BE4" w:rsidRPr="001C37C9" w:rsidRDefault="00DD2BE4">
            <w:pPr>
              <w:pStyle w:val="TableListNumber"/>
              <w:numPr>
                <w:ilvl w:val="0"/>
                <w:numId w:val="9"/>
              </w:numPr>
              <w:spacing w:after="120"/>
              <w:ind w:left="68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Be able to solve idealised beam problems using bending theory</w:t>
            </w:r>
          </w:p>
        </w:tc>
        <w:tc>
          <w:tcPr>
            <w:tcW w:w="5538" w:type="dxa"/>
            <w:shd w:val="clear" w:color="auto" w:fill="FFFFFF" w:themeFill="background1"/>
          </w:tcPr>
          <w:p w:rsidR="00DD2BE4" w:rsidRPr="001C37C9" w:rsidRDefault="00DD2BE4">
            <w:pPr>
              <w:pStyle w:val="ListNumber"/>
              <w:numPr>
                <w:ilvl w:val="1"/>
                <w:numId w:val="9"/>
              </w:numPr>
              <w:spacing w:before="120"/>
              <w:ind w:left="600" w:hanging="413"/>
              <w:jc w:val="left"/>
              <w:rPr>
                <w:rFonts w:asciiTheme="minorHAnsi" w:eastAsiaTheme="minorEastAsia" w:hAnsiTheme="minorHAnsi" w:cs="Gill Sans MT"/>
              </w:rPr>
            </w:pPr>
            <w:r w:rsidRPr="001C37C9">
              <w:rPr>
                <w:rFonts w:asciiTheme="minorHAnsi" w:eastAsiaTheme="minorEastAsia" w:hAnsiTheme="minorHAnsi" w:cs="Gill Sans MT"/>
              </w:rPr>
              <w:t xml:space="preserve">Calculate the second moment of area for a simple section </w:t>
            </w:r>
          </w:p>
          <w:p w:rsidR="00DD2BE4" w:rsidRPr="001C37C9" w:rsidRDefault="00DD2BE4">
            <w:pPr>
              <w:pStyle w:val="ListNumber"/>
              <w:numPr>
                <w:ilvl w:val="1"/>
                <w:numId w:val="9"/>
              </w:numPr>
              <w:spacing w:before="120"/>
              <w:ind w:left="600" w:hanging="413"/>
              <w:jc w:val="left"/>
              <w:rPr>
                <w:rFonts w:asciiTheme="minorHAnsi" w:eastAsiaTheme="minorEastAsia" w:hAnsiTheme="minorHAnsi" w:cs="Gill Sans MT"/>
              </w:rPr>
            </w:pPr>
            <w:r w:rsidRPr="001C37C9">
              <w:rPr>
                <w:rFonts w:asciiTheme="minorHAnsi" w:eastAsiaTheme="minorEastAsia" w:hAnsiTheme="minorHAnsi" w:cs="Gill Sans MT"/>
              </w:rPr>
              <w:t>Solve problems involving simple bending theory</w:t>
            </w:r>
          </w:p>
        </w:tc>
      </w:tr>
      <w:tr w:rsidR="00DD2BE4" w:rsidRPr="001C37C9" w:rsidTr="00323C82">
        <w:trPr>
          <w:cantSplit/>
        </w:trPr>
        <w:tc>
          <w:tcPr>
            <w:tcW w:w="0" w:type="auto"/>
            <w:shd w:val="clear" w:color="auto" w:fill="FFFFFF" w:themeFill="background1"/>
          </w:tcPr>
          <w:p w:rsidR="00DD2BE4" w:rsidRPr="001C37C9" w:rsidRDefault="00DD2BE4">
            <w:pPr>
              <w:pStyle w:val="TableListNumber"/>
              <w:numPr>
                <w:ilvl w:val="0"/>
                <w:numId w:val="9"/>
              </w:numPr>
              <w:spacing w:after="120"/>
              <w:ind w:left="68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Be able to solve shaft problems using simple torsion theory</w:t>
            </w:r>
          </w:p>
          <w:p w:rsidR="00DD2BE4" w:rsidRPr="001C37C9" w:rsidRDefault="00DD2BE4">
            <w:pPr>
              <w:pStyle w:val="ListNumber"/>
              <w:numPr>
                <w:ilvl w:val="0"/>
                <w:numId w:val="0"/>
              </w:numPr>
              <w:ind w:left="468"/>
              <w:jc w:val="left"/>
              <w:rPr>
                <w:rFonts w:asciiTheme="minorHAnsi" w:eastAsiaTheme="minorEastAsia" w:hAnsiTheme="minorHAnsi" w:cs="Gill Sans MT"/>
              </w:rPr>
            </w:pPr>
          </w:p>
        </w:tc>
        <w:tc>
          <w:tcPr>
            <w:tcW w:w="5538" w:type="dxa"/>
            <w:shd w:val="clear" w:color="auto" w:fill="FFFFFF" w:themeFill="background1"/>
          </w:tcPr>
          <w:p w:rsidR="00DD2BE4" w:rsidRPr="001C37C9" w:rsidRDefault="00DD2BE4">
            <w:pPr>
              <w:pStyle w:val="ListNumber"/>
              <w:numPr>
                <w:ilvl w:val="1"/>
                <w:numId w:val="9"/>
              </w:numPr>
              <w:spacing w:before="120"/>
              <w:ind w:left="614" w:hanging="427"/>
              <w:jc w:val="left"/>
              <w:rPr>
                <w:rFonts w:asciiTheme="minorHAnsi" w:eastAsiaTheme="minorEastAsia" w:hAnsiTheme="minorHAnsi" w:cs="Gill Sans MT"/>
              </w:rPr>
            </w:pPr>
            <w:r w:rsidRPr="001C37C9">
              <w:rPr>
                <w:rFonts w:asciiTheme="minorHAnsi" w:eastAsiaTheme="minorEastAsia" w:hAnsiTheme="minorHAnsi" w:cs="Gill Sans MT"/>
              </w:rPr>
              <w:t>Calculate the polar second moment of area for a shaft of circular cross-section.</w:t>
            </w:r>
          </w:p>
          <w:p w:rsidR="00DD2BE4" w:rsidRPr="001C37C9" w:rsidRDefault="00DD2BE4">
            <w:pPr>
              <w:pStyle w:val="ListNumber"/>
              <w:numPr>
                <w:ilvl w:val="1"/>
                <w:numId w:val="9"/>
              </w:numPr>
              <w:spacing w:before="120"/>
              <w:ind w:left="614" w:hanging="427"/>
              <w:jc w:val="left"/>
              <w:rPr>
                <w:rFonts w:asciiTheme="minorHAnsi" w:eastAsiaTheme="minorEastAsia" w:hAnsiTheme="minorHAnsi" w:cs="Gill Sans MT"/>
              </w:rPr>
            </w:pPr>
            <w:r w:rsidRPr="001C37C9">
              <w:rPr>
                <w:rFonts w:asciiTheme="minorHAnsi" w:eastAsiaTheme="minorEastAsia" w:hAnsiTheme="minorHAnsi" w:cs="Gill Sans MT"/>
              </w:rPr>
              <w:t>Solve problems involving simple torsion theory applied to shafts of circular cross-sectional area.</w:t>
            </w:r>
          </w:p>
        </w:tc>
      </w:tr>
      <w:tr w:rsidR="00DD2BE4" w:rsidRPr="001C37C9" w:rsidTr="00323C82">
        <w:tc>
          <w:tcPr>
            <w:tcW w:w="0" w:type="auto"/>
            <w:tcBorders>
              <w:right w:val="nil"/>
            </w:tcBorders>
            <w:shd w:val="clear" w:color="auto" w:fill="FFFFFF" w:themeFill="background1"/>
          </w:tcPr>
          <w:p w:rsidR="00DD2BE4" w:rsidRPr="001C37C9" w:rsidRDefault="00DD2BE4">
            <w:pPr>
              <w:pStyle w:val="TableText"/>
              <w:jc w:val="both"/>
              <w:rPr>
                <w:rFonts w:asciiTheme="minorHAnsi" w:eastAsiaTheme="minorEastAsia" w:hAnsiTheme="minorHAnsi" w:cs="Gill Sans MT"/>
                <w:b/>
                <w:bCs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b/>
                <w:bCs/>
                <w:sz w:val="22"/>
                <w:szCs w:val="22"/>
              </w:rPr>
              <w:t>Additional information about the unit</w:t>
            </w:r>
          </w:p>
        </w:tc>
        <w:tc>
          <w:tcPr>
            <w:tcW w:w="5538" w:type="dxa"/>
            <w:tcBorders>
              <w:left w:val="nil"/>
            </w:tcBorders>
            <w:shd w:val="clear" w:color="auto" w:fill="FFFFFF" w:themeFill="background1"/>
          </w:tcPr>
          <w:p w:rsidR="00DD2BE4" w:rsidRPr="001C37C9" w:rsidRDefault="00DD2BE4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color w:val="000080"/>
                <w:sz w:val="22"/>
                <w:szCs w:val="22"/>
              </w:rPr>
            </w:pPr>
          </w:p>
        </w:tc>
      </w:tr>
      <w:tr w:rsidR="00DD2BE4" w:rsidRPr="001C37C9">
        <w:tc>
          <w:tcPr>
            <w:tcW w:w="0" w:type="auto"/>
          </w:tcPr>
          <w:p w:rsidR="00DD2BE4" w:rsidRPr="001C37C9" w:rsidRDefault="00DD2BE4">
            <w:pPr>
              <w:pStyle w:val="TableText"/>
              <w:spacing w:after="13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Unit aim(s)</w:t>
            </w:r>
          </w:p>
        </w:tc>
        <w:tc>
          <w:tcPr>
            <w:tcW w:w="5538" w:type="dxa"/>
          </w:tcPr>
          <w:p w:rsidR="00DD2BE4" w:rsidRPr="001C37C9" w:rsidRDefault="00DD2BE4">
            <w:pPr>
              <w:ind w:left="185"/>
              <w:rPr>
                <w:rFonts w:asciiTheme="minorHAnsi" w:eastAsiaTheme="minorEastAsia" w:hAnsiTheme="minorHAnsi" w:cs="Gill Sans MT"/>
              </w:rPr>
            </w:pPr>
            <w:r w:rsidRPr="001C37C9">
              <w:rPr>
                <w:rFonts w:asciiTheme="minorHAnsi" w:eastAsiaTheme="minorEastAsia" w:hAnsiTheme="minorHAnsi" w:cs="Gill Sans MT"/>
              </w:rPr>
              <w:t>To provide candidates with basic knowledge and understanding of the strength of materials in an engineering context</w:t>
            </w:r>
          </w:p>
        </w:tc>
      </w:tr>
      <w:tr w:rsidR="00DD2BE4" w:rsidRPr="001C37C9">
        <w:tc>
          <w:tcPr>
            <w:tcW w:w="0" w:type="auto"/>
          </w:tcPr>
          <w:p w:rsidR="00DD2BE4" w:rsidRPr="001C37C9" w:rsidRDefault="00DD2BE4">
            <w:pPr>
              <w:pStyle w:val="TableText"/>
              <w:spacing w:after="130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Unit expiry date</w:t>
            </w:r>
          </w:p>
        </w:tc>
        <w:tc>
          <w:tcPr>
            <w:tcW w:w="5538" w:type="dxa"/>
          </w:tcPr>
          <w:p w:rsidR="00DD2BE4" w:rsidRPr="001C37C9" w:rsidRDefault="00DD2BE4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  <w:highlight w:val="yellow"/>
              </w:rPr>
            </w:pPr>
          </w:p>
        </w:tc>
      </w:tr>
      <w:tr w:rsidR="00DD2BE4" w:rsidRPr="001C37C9">
        <w:trPr>
          <w:cantSplit/>
        </w:trPr>
        <w:tc>
          <w:tcPr>
            <w:tcW w:w="0" w:type="auto"/>
          </w:tcPr>
          <w:p w:rsidR="00DD2BE4" w:rsidRPr="001C37C9" w:rsidRDefault="00DD2BE4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538" w:type="dxa"/>
          </w:tcPr>
          <w:p w:rsidR="00DD2BE4" w:rsidRPr="001C37C9" w:rsidRDefault="00DD2BE4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MNTB NOS (Jan 2006) – C11 Prepare and operate propulsion machinery and ancillary systems</w:t>
            </w:r>
          </w:p>
          <w:p w:rsidR="00DD2BE4" w:rsidRPr="001C37C9" w:rsidRDefault="00DD2BE4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C12 Operate vessel auxiliaries and service machinery</w:t>
            </w:r>
          </w:p>
          <w:p w:rsidR="00DD2BE4" w:rsidRPr="001C37C9" w:rsidRDefault="00DD2BE4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C34 Carry out maintenance of vessel mechanical machinery and systems</w:t>
            </w:r>
          </w:p>
        </w:tc>
      </w:tr>
      <w:tr w:rsidR="00DD2BE4" w:rsidRPr="001C37C9">
        <w:tc>
          <w:tcPr>
            <w:tcW w:w="0" w:type="auto"/>
          </w:tcPr>
          <w:p w:rsidR="00DD2BE4" w:rsidRPr="001C37C9" w:rsidRDefault="00DD2BE4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 xml:space="preserve">Details of the relationship between the unit </w:t>
            </w: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lastRenderedPageBreak/>
              <w:t>and other standards or curricula (if appropriate)</w:t>
            </w:r>
          </w:p>
        </w:tc>
        <w:tc>
          <w:tcPr>
            <w:tcW w:w="5538" w:type="dxa"/>
          </w:tcPr>
          <w:p w:rsidR="00DD2BE4" w:rsidRPr="001C37C9" w:rsidRDefault="00DD2BE4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lastRenderedPageBreak/>
              <w:t xml:space="preserve">Maritime and Coastguard Agency Marine Guidance </w:t>
            </w: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lastRenderedPageBreak/>
              <w:t xml:space="preserve">Notice regarding Certificates of Competency – Engine Department,  </w:t>
            </w:r>
          </w:p>
        </w:tc>
      </w:tr>
      <w:tr w:rsidR="00DD2BE4" w:rsidRPr="001C37C9">
        <w:tc>
          <w:tcPr>
            <w:tcW w:w="0" w:type="auto"/>
          </w:tcPr>
          <w:p w:rsidR="00DD2BE4" w:rsidRPr="001C37C9" w:rsidRDefault="00DD2BE4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lastRenderedPageBreak/>
              <w:t>Assessment requirements specified by a sector or regulatory body (if appropriate)</w:t>
            </w:r>
          </w:p>
        </w:tc>
        <w:tc>
          <w:tcPr>
            <w:tcW w:w="5538" w:type="dxa"/>
          </w:tcPr>
          <w:p w:rsidR="00DD2BE4" w:rsidRPr="001C37C9" w:rsidRDefault="00DD2BE4">
            <w:pPr>
              <w:pStyle w:val="TableText"/>
              <w:spacing w:before="60" w:after="60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MSA Assessment Strategy</w:t>
            </w:r>
          </w:p>
          <w:p w:rsidR="00DD2BE4" w:rsidRPr="001C37C9" w:rsidRDefault="00DD2BE4">
            <w:pPr>
              <w:pStyle w:val="TableText"/>
              <w:spacing w:before="60" w:after="60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MCA Requirements</w:t>
            </w:r>
          </w:p>
        </w:tc>
      </w:tr>
      <w:tr w:rsidR="00DD2BE4" w:rsidRPr="001C37C9">
        <w:tc>
          <w:tcPr>
            <w:tcW w:w="0" w:type="auto"/>
          </w:tcPr>
          <w:p w:rsidR="00DD2BE4" w:rsidRPr="001C37C9" w:rsidRDefault="00DD2BE4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538" w:type="dxa"/>
          </w:tcPr>
          <w:p w:rsidR="00DD2BE4" w:rsidRPr="001C37C9" w:rsidRDefault="00DD2BE4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MCA….</w:t>
            </w:r>
          </w:p>
        </w:tc>
      </w:tr>
      <w:tr w:rsidR="00DD2BE4" w:rsidRPr="001C37C9">
        <w:tc>
          <w:tcPr>
            <w:tcW w:w="0" w:type="auto"/>
          </w:tcPr>
          <w:p w:rsidR="00DD2BE4" w:rsidRPr="001C37C9" w:rsidRDefault="00DD2BE4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538" w:type="dxa"/>
          </w:tcPr>
          <w:p w:rsidR="00DD2BE4" w:rsidRPr="001C37C9" w:rsidRDefault="00DD2BE4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Transportation</w:t>
            </w:r>
          </w:p>
        </w:tc>
      </w:tr>
      <w:tr w:rsidR="00DD2BE4" w:rsidRPr="001C37C9">
        <w:tc>
          <w:tcPr>
            <w:tcW w:w="0" w:type="auto"/>
          </w:tcPr>
          <w:p w:rsidR="00DD2BE4" w:rsidRPr="001C37C9" w:rsidRDefault="00DD2BE4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Name of the organisation submitting the unit</w:t>
            </w:r>
          </w:p>
        </w:tc>
        <w:tc>
          <w:tcPr>
            <w:tcW w:w="5538" w:type="dxa"/>
          </w:tcPr>
          <w:p w:rsidR="00DD2BE4" w:rsidRPr="001C37C9" w:rsidRDefault="00DD2BE4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Scottish Qualifications Authority</w:t>
            </w:r>
          </w:p>
        </w:tc>
      </w:tr>
      <w:tr w:rsidR="00DD2BE4" w:rsidRPr="001C37C9">
        <w:tc>
          <w:tcPr>
            <w:tcW w:w="0" w:type="auto"/>
          </w:tcPr>
          <w:p w:rsidR="00DD2BE4" w:rsidRPr="001C37C9" w:rsidRDefault="00DD2BE4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Availability for use</w:t>
            </w:r>
          </w:p>
        </w:tc>
        <w:tc>
          <w:tcPr>
            <w:tcW w:w="5538" w:type="dxa"/>
          </w:tcPr>
          <w:p w:rsidR="00DD2BE4" w:rsidRPr="001C37C9" w:rsidRDefault="00DD2BE4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</w:tr>
      <w:tr w:rsidR="00DD2BE4" w:rsidRPr="001C37C9">
        <w:tc>
          <w:tcPr>
            <w:tcW w:w="0" w:type="auto"/>
          </w:tcPr>
          <w:p w:rsidR="00DD2BE4" w:rsidRPr="001C37C9" w:rsidRDefault="00DD2BE4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Availability for delivery</w:t>
            </w:r>
          </w:p>
        </w:tc>
        <w:tc>
          <w:tcPr>
            <w:tcW w:w="5538" w:type="dxa"/>
          </w:tcPr>
          <w:p w:rsidR="00DD2BE4" w:rsidRPr="001C37C9" w:rsidRDefault="00DD2BE4">
            <w:pPr>
              <w:pStyle w:val="TableText"/>
              <w:ind w:left="185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</w:p>
        </w:tc>
      </w:tr>
      <w:tr w:rsidR="00DD2BE4" w:rsidRPr="001C37C9">
        <w:tc>
          <w:tcPr>
            <w:tcW w:w="0" w:type="auto"/>
          </w:tcPr>
          <w:p w:rsidR="00DD2BE4" w:rsidRPr="001C37C9" w:rsidRDefault="00DD2BE4">
            <w:pPr>
              <w:pStyle w:val="TableText"/>
              <w:spacing w:after="130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Guided Learning Hours</w:t>
            </w:r>
          </w:p>
        </w:tc>
        <w:tc>
          <w:tcPr>
            <w:tcW w:w="5538" w:type="dxa"/>
          </w:tcPr>
          <w:p w:rsidR="00DD2BE4" w:rsidRPr="001C37C9" w:rsidRDefault="00DD2BE4">
            <w:pPr>
              <w:pStyle w:val="TableText"/>
              <w:jc w:val="both"/>
              <w:rPr>
                <w:rFonts w:asciiTheme="minorHAnsi" w:eastAsiaTheme="minorEastAsia" w:hAnsiTheme="minorHAnsi" w:cs="Gill Sans MT"/>
                <w:sz w:val="22"/>
                <w:szCs w:val="22"/>
              </w:rPr>
            </w:pPr>
            <w:r w:rsidRPr="001C37C9">
              <w:rPr>
                <w:rFonts w:asciiTheme="minorHAnsi" w:eastAsiaTheme="minorEastAsia" w:hAnsiTheme="minorHAnsi" w:cs="Gill Sans MT"/>
                <w:sz w:val="22"/>
                <w:szCs w:val="22"/>
              </w:rPr>
              <w:t>40</w:t>
            </w:r>
          </w:p>
        </w:tc>
      </w:tr>
    </w:tbl>
    <w:p w:rsidR="00DD2BE4" w:rsidRPr="00323C82" w:rsidRDefault="00DD2BE4">
      <w:pPr>
        <w:rPr>
          <w:rFonts w:asciiTheme="minorHAnsi" w:hAnsiTheme="minorHAnsi" w:cs="Gill Sans MT"/>
          <w:color w:val="000080"/>
        </w:rPr>
      </w:pPr>
    </w:p>
    <w:p w:rsidR="00DD2BE4" w:rsidRPr="00323C82" w:rsidRDefault="00DD2BE4">
      <w:pPr>
        <w:rPr>
          <w:rFonts w:asciiTheme="minorHAnsi" w:hAnsiTheme="minorHAnsi"/>
          <w:color w:val="000080"/>
        </w:rPr>
      </w:pPr>
    </w:p>
    <w:sectPr w:rsidR="00DD2BE4" w:rsidRPr="00323C82" w:rsidSect="00DD2BE4">
      <w:footerReference w:type="default" r:id="rId7"/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7C9" w:rsidRDefault="001C37C9">
      <w:r>
        <w:separator/>
      </w:r>
    </w:p>
  </w:endnote>
  <w:endnote w:type="continuationSeparator" w:id="0">
    <w:p w:rsidR="001C37C9" w:rsidRDefault="001C3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BE4" w:rsidRDefault="00DD2BE4">
    <w:pPr>
      <w:pStyle w:val="Footer"/>
      <w:pBdr>
        <w:top w:val="thinThickSmallGap" w:sz="24" w:space="1" w:color="622423"/>
      </w:pBdr>
      <w:tabs>
        <w:tab w:val="clear" w:pos="4153"/>
      </w:tabs>
      <w:rPr>
        <w:rFonts w:ascii="Calibri" w:hAnsi="Calibri" w:cs="Calibri"/>
      </w:rPr>
    </w:pPr>
    <w:r>
      <w:rPr>
        <w:rFonts w:ascii="Calibri" w:hAnsi="Calibri" w:cs="Calibri"/>
      </w:rPr>
      <w:t>Maritime Skill</w:t>
    </w:r>
    <w:r w:rsidR="00323C82">
      <w:rPr>
        <w:rFonts w:ascii="Calibri" w:hAnsi="Calibri" w:cs="Calibri"/>
      </w:rPr>
      <w:t>s Alliance</w:t>
    </w:r>
    <w:r>
      <w:rPr>
        <w:rFonts w:ascii="Calibri" w:hAnsi="Calibri" w:cs="Calibri"/>
      </w:rPr>
      <w:tab/>
      <w:t xml:space="preserve"> Page </w:t>
    </w:r>
    <w:r w:rsidR="00BA1037"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  \* MERGEFORMAT </w:instrText>
    </w:r>
    <w:r w:rsidR="00BA1037">
      <w:rPr>
        <w:rFonts w:ascii="Calibri" w:hAnsi="Calibri" w:cs="Calibri"/>
      </w:rPr>
      <w:fldChar w:fldCharType="separate"/>
    </w:r>
    <w:r w:rsidR="00323C82">
      <w:rPr>
        <w:rFonts w:ascii="Calibri" w:hAnsi="Calibri" w:cs="Calibri"/>
        <w:noProof/>
      </w:rPr>
      <w:t>1</w:t>
    </w:r>
    <w:r w:rsidR="00BA1037">
      <w:rPr>
        <w:rFonts w:ascii="Calibri" w:hAnsi="Calibri" w:cs="Calibri"/>
      </w:rPr>
      <w:fldChar w:fldCharType="end"/>
    </w:r>
  </w:p>
  <w:p w:rsidR="00DD2BE4" w:rsidRDefault="00DD2B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7C9" w:rsidRDefault="001C37C9">
      <w:r>
        <w:separator/>
      </w:r>
    </w:p>
  </w:footnote>
  <w:footnote w:type="continuationSeparator" w:id="0">
    <w:p w:rsidR="001C37C9" w:rsidRDefault="001C37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8C1EE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FFFFFFFB"/>
    <w:multiLevelType w:val="multilevel"/>
    <w:tmpl w:val="ADDE955A"/>
    <w:lvl w:ilvl="0">
      <w:start w:val="1"/>
      <w:numFmt w:val="decimal"/>
      <w:pStyle w:val="Heading6"/>
      <w:lvlText w:val="%1"/>
      <w:legacy w:legacy="1" w:legacySpace="12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  <w:lvl w:ilvl="1">
      <w:numFmt w:val="none"/>
      <w:lvlText w:val=""/>
      <w:lvlJc w:val="left"/>
      <w:rPr>
        <w:rFonts w:ascii="Times New Roman" w:hAnsi="Times New Roman" w:cs="Times New Roman"/>
      </w:rPr>
    </w:lvl>
    <w:lvl w:ilvl="2">
      <w:numFmt w:val="none"/>
      <w:lvlText w:val=""/>
      <w:lvlJc w:val="left"/>
      <w:rPr>
        <w:rFonts w:ascii="Times New Roman" w:hAnsi="Times New Roman" w:cs="Times New Roman"/>
      </w:rPr>
    </w:lvl>
    <w:lvl w:ilvl="3">
      <w:numFmt w:val="none"/>
      <w:lvlText w:val="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2">
    <w:nsid w:val="1D35416A"/>
    <w:multiLevelType w:val="hybridMultilevel"/>
    <w:tmpl w:val="84B0CDD4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23134491"/>
    <w:multiLevelType w:val="hybridMultilevel"/>
    <w:tmpl w:val="5D34E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2A6A6545"/>
    <w:multiLevelType w:val="singleLevel"/>
    <w:tmpl w:val="C4E28708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</w:abstractNum>
  <w:abstractNum w:abstractNumId="6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ascii="Times New Roman" w:hAnsi="Times New Roman" w:cs="Times New Roman"/>
      </w:rPr>
    </w:lvl>
  </w:abstractNum>
  <w:abstractNum w:abstractNumId="7">
    <w:nsid w:val="3F49243E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  <w:num w:numId="11">
    <w:abstractNumId w:val="1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BE4"/>
    <w:rsid w:val="001C37C9"/>
    <w:rsid w:val="00323C82"/>
    <w:rsid w:val="00BA1037"/>
    <w:rsid w:val="00DD2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st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037"/>
    <w:rPr>
      <w:rFonts w:ascii="Arial" w:hAnsi="Arial" w:cs="Arial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A1037"/>
    <w:pPr>
      <w:keepNext/>
      <w:tabs>
        <w:tab w:val="num" w:pos="360"/>
      </w:tabs>
      <w:overflowPunct w:val="0"/>
      <w:autoSpaceDE w:val="0"/>
      <w:autoSpaceDN w:val="0"/>
      <w:adjustRightInd w:val="0"/>
      <w:ind w:left="298" w:hanging="298"/>
      <w:textAlignment w:val="baseline"/>
      <w:outlineLvl w:val="4"/>
    </w:pPr>
    <w:rPr>
      <w:sz w:val="24"/>
      <w:szCs w:val="24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A1037"/>
    <w:pPr>
      <w:keepNext/>
      <w:numPr>
        <w:numId w:val="11"/>
      </w:numPr>
      <w:tabs>
        <w:tab w:val="num" w:pos="36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BA1037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BA1037"/>
    <w:rPr>
      <w:rFonts w:ascii="Arial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BA10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037"/>
    <w:rPr>
      <w:rFonts w:ascii="Arial" w:hAnsi="Arial" w:cs="Arial"/>
      <w:sz w:val="22"/>
      <w:szCs w:val="22"/>
      <w:lang w:val="en-GB" w:eastAsia="en-US"/>
    </w:rPr>
  </w:style>
  <w:style w:type="paragraph" w:customStyle="1" w:styleId="TableListNumber">
    <w:name w:val="Table List Number"/>
    <w:basedOn w:val="TableText"/>
    <w:uiPriority w:val="99"/>
    <w:rsid w:val="00BA1037"/>
    <w:pPr>
      <w:numPr>
        <w:numId w:val="7"/>
      </w:numPr>
      <w:tabs>
        <w:tab w:val="left" w:pos="298"/>
      </w:tabs>
    </w:pPr>
  </w:style>
  <w:style w:type="paragraph" w:customStyle="1" w:styleId="TableText">
    <w:name w:val="Table Text"/>
    <w:basedOn w:val="Normal"/>
    <w:uiPriority w:val="99"/>
    <w:rsid w:val="00BA1037"/>
    <w:pPr>
      <w:spacing w:before="120" w:after="170" w:line="240" w:lineRule="atLeas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rsid w:val="00BA1037"/>
    <w:rPr>
      <w:b/>
      <w:bCs/>
    </w:rPr>
  </w:style>
  <w:style w:type="paragraph" w:customStyle="1" w:styleId="Knowledge">
    <w:name w:val="Knowledge"/>
    <w:basedOn w:val="Normal"/>
    <w:uiPriority w:val="99"/>
    <w:rsid w:val="00BA1037"/>
    <w:pPr>
      <w:spacing w:before="120" w:after="120"/>
    </w:pPr>
  </w:style>
  <w:style w:type="paragraph" w:styleId="ListNumber">
    <w:name w:val="List Number"/>
    <w:basedOn w:val="Normal"/>
    <w:uiPriority w:val="99"/>
    <w:rsid w:val="00BA1037"/>
    <w:pPr>
      <w:numPr>
        <w:ilvl w:val="1"/>
        <w:numId w:val="8"/>
      </w:numPr>
      <w:spacing w:after="120"/>
      <w:jc w:val="both"/>
    </w:pPr>
  </w:style>
  <w:style w:type="paragraph" w:styleId="Header">
    <w:name w:val="header"/>
    <w:basedOn w:val="Normal"/>
    <w:link w:val="HeaderChar"/>
    <w:uiPriority w:val="99"/>
    <w:rsid w:val="00BA10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037"/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BA1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A1037"/>
    <w:rPr>
      <w:rFonts w:ascii="Times New Roman" w:hAnsi="Times New Roman" w:cs="Times New Roman"/>
      <w:sz w:val="2"/>
      <w:szCs w:val="2"/>
      <w:lang w:eastAsia="en-US"/>
    </w:rPr>
  </w:style>
  <w:style w:type="character" w:styleId="CommentReference">
    <w:name w:val="annotation reference"/>
    <w:basedOn w:val="DefaultParagraphFont"/>
    <w:uiPriority w:val="99"/>
    <w:rsid w:val="00BA1037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A10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1037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A10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A10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1941</Characters>
  <Application>Microsoft Office Word</Application>
  <DocSecurity>0</DocSecurity>
  <Lines>16</Lines>
  <Paragraphs>4</Paragraphs>
  <ScaleCrop>false</ScaleCrop>
  <Company>&lt;arabianhorse&gt;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My Computer</dc:creator>
  <cp:keywords/>
  <dc:description/>
  <cp:lastModifiedBy>Iain Mackinnon</cp:lastModifiedBy>
  <cp:revision>5</cp:revision>
  <dcterms:created xsi:type="dcterms:W3CDTF">2010-08-11T10:57:00Z</dcterms:created>
  <dcterms:modified xsi:type="dcterms:W3CDTF">2013-08-19T13:37:00Z</dcterms:modified>
</cp:coreProperties>
</file>